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00390">
      <w:pPr>
        <w:pStyle w:val="18"/>
        <w:spacing w:line="560" w:lineRule="exact"/>
        <w:jc w:val="both"/>
        <w:rPr>
          <w:color w:val="000000" w:themeColor="text1"/>
          <w14:textFill>
            <w14:solidFill>
              <w14:schemeClr w14:val="tx1"/>
            </w14:solidFill>
          </w14:textFill>
        </w:rPr>
      </w:pPr>
    </w:p>
    <w:p w14:paraId="0F2DD0C9">
      <w:pPr>
        <w:spacing w:line="560" w:lineRule="exact"/>
        <w:jc w:val="right"/>
        <w:rPr>
          <w:color w:val="000000" w:themeColor="text1"/>
          <w:sz w:val="30"/>
          <w:szCs w:val="30"/>
          <w:highlight w:val="none"/>
          <w14:textFill>
            <w14:solidFill>
              <w14:schemeClr w14:val="tx1"/>
            </w14:solidFill>
          </w14:textFill>
        </w:rPr>
      </w:pPr>
      <w:r>
        <w:rPr>
          <w:rFonts w:hint="eastAsia" w:ascii="楷体" w:hAnsi="楷体" w:eastAsia="楷体" w:cs="楷体"/>
          <w:color w:val="000000" w:themeColor="text1"/>
          <w:sz w:val="30"/>
          <w:szCs w:val="30"/>
          <w14:textFill>
            <w14:solidFill>
              <w14:schemeClr w14:val="tx1"/>
            </w14:solidFill>
          </w14:textFill>
        </w:rPr>
        <w:t>连高环表复</w:t>
      </w:r>
      <w:r>
        <w:rPr>
          <w:rFonts w:eastAsia="楷体"/>
          <w:color w:val="000000" w:themeColor="text1"/>
          <w:sz w:val="30"/>
          <w:szCs w:val="30"/>
          <w14:textFill>
            <w14:solidFill>
              <w14:schemeClr w14:val="tx1"/>
            </w14:solidFill>
          </w14:textFill>
        </w:rPr>
        <w:t>〔202</w:t>
      </w:r>
      <w:r>
        <w:rPr>
          <w:rFonts w:hint="eastAsia" w:eastAsia="楷体"/>
          <w:color w:val="000000" w:themeColor="text1"/>
          <w:sz w:val="30"/>
          <w:szCs w:val="30"/>
          <w:highlight w:val="none"/>
          <w:lang w:val="en-US" w:eastAsia="zh-CN"/>
          <w14:textFill>
            <w14:solidFill>
              <w14:schemeClr w14:val="tx1"/>
            </w14:solidFill>
          </w14:textFill>
        </w:rPr>
        <w:t>6</w:t>
      </w:r>
      <w:r>
        <w:rPr>
          <w:rFonts w:eastAsia="楷体"/>
          <w:color w:val="000000" w:themeColor="text1"/>
          <w:sz w:val="30"/>
          <w:szCs w:val="30"/>
          <w:highlight w:val="none"/>
          <w14:textFill>
            <w14:solidFill>
              <w14:schemeClr w14:val="tx1"/>
            </w14:solidFill>
          </w14:textFill>
        </w:rPr>
        <w:t>〕</w:t>
      </w:r>
      <w:r>
        <w:rPr>
          <w:rFonts w:hint="eastAsia" w:eastAsia="楷体"/>
          <w:color w:val="000000" w:themeColor="text1"/>
          <w:sz w:val="30"/>
          <w:szCs w:val="30"/>
          <w:highlight w:val="none"/>
          <w:lang w:val="en-US" w:eastAsia="zh-CN"/>
          <w14:textFill>
            <w14:solidFill>
              <w14:schemeClr w14:val="tx1"/>
            </w14:solidFill>
          </w14:textFill>
        </w:rPr>
        <w:t>2</w:t>
      </w:r>
      <w:r>
        <w:rPr>
          <w:rFonts w:eastAsia="楷体"/>
          <w:color w:val="000000" w:themeColor="text1"/>
          <w:sz w:val="30"/>
          <w:szCs w:val="30"/>
          <w:highlight w:val="none"/>
          <w14:textFill>
            <w14:solidFill>
              <w14:schemeClr w14:val="tx1"/>
            </w14:solidFill>
          </w14:textFill>
        </w:rPr>
        <w:t>号</w:t>
      </w:r>
    </w:p>
    <w:p w14:paraId="5EF6DCB9">
      <w:pPr>
        <w:spacing w:line="580" w:lineRule="exact"/>
        <w:jc w:val="center"/>
        <w:rPr>
          <w:rFonts w:eastAsia="方正小标宋简体"/>
          <w:bCs/>
          <w:color w:val="000000" w:themeColor="text1"/>
          <w:spacing w:val="-17"/>
          <w:sz w:val="44"/>
          <w:szCs w:val="44"/>
          <w14:textFill>
            <w14:solidFill>
              <w14:schemeClr w14:val="tx1"/>
            </w14:solidFill>
          </w14:textFill>
        </w:rPr>
      </w:pPr>
      <w:r>
        <w:rPr>
          <w:rFonts w:eastAsia="方正小标宋简体"/>
          <w:bCs/>
          <w:color w:val="000000" w:themeColor="text1"/>
          <w:spacing w:val="-17"/>
          <w:sz w:val="44"/>
          <w:szCs w:val="44"/>
          <w14:textFill>
            <w14:solidFill>
              <w14:schemeClr w14:val="tx1"/>
            </w14:solidFill>
          </w14:textFill>
        </w:rPr>
        <w:t>关于对</w:t>
      </w:r>
      <w:r>
        <w:rPr>
          <w:rFonts w:hint="eastAsia" w:eastAsia="方正小标宋简体"/>
          <w:bCs/>
          <w:color w:val="000000" w:themeColor="text1"/>
          <w:spacing w:val="-17"/>
          <w:sz w:val="44"/>
          <w:szCs w:val="44"/>
          <w:lang w:eastAsia="zh-CN"/>
          <w14:textFill>
            <w14:solidFill>
              <w14:schemeClr w14:val="tx1"/>
            </w14:solidFill>
          </w14:textFill>
        </w:rPr>
        <w:t>衡所华威电子有限公司高端型透明塑封料产线及原有产线扩建项目</w:t>
      </w:r>
      <w:r>
        <w:rPr>
          <w:rFonts w:eastAsia="方正小标宋简体"/>
          <w:bCs/>
          <w:color w:val="000000" w:themeColor="text1"/>
          <w:spacing w:val="-17"/>
          <w:sz w:val="44"/>
          <w:szCs w:val="44"/>
          <w14:textFill>
            <w14:solidFill>
              <w14:schemeClr w14:val="tx1"/>
            </w14:solidFill>
          </w14:textFill>
        </w:rPr>
        <w:t>环境影响报告表的批复</w:t>
      </w:r>
    </w:p>
    <w:p w14:paraId="2D84E585">
      <w:pPr>
        <w:adjustRightInd w:val="0"/>
        <w:spacing w:line="560" w:lineRule="exact"/>
        <w:ind w:firstLine="640" w:firstLineChars="200"/>
        <w:rPr>
          <w:rFonts w:eastAsia="仿宋_GB2312"/>
          <w:color w:val="000000" w:themeColor="text1"/>
          <w:sz w:val="32"/>
          <w:szCs w:val="32"/>
          <w14:textFill>
            <w14:solidFill>
              <w14:schemeClr w14:val="tx1"/>
            </w14:solidFill>
          </w14:textFill>
        </w:rPr>
      </w:pPr>
    </w:p>
    <w:p w14:paraId="6D1F92B8">
      <w:pPr>
        <w:adjustRightInd w:val="0"/>
        <w:snapToGrid w:val="0"/>
        <w:spacing w:line="560" w:lineRule="exact"/>
        <w:rPr>
          <w:rFonts w:eastAsia="仿宋_GB2312"/>
          <w:color w:val="000000" w:themeColor="text1"/>
          <w:sz w:val="32"/>
          <w:szCs w:val="32"/>
          <w14:textFill>
            <w14:solidFill>
              <w14:schemeClr w14:val="tx1"/>
            </w14:solidFill>
          </w14:textFill>
        </w:rPr>
      </w:pPr>
      <w:r>
        <w:rPr>
          <w:rFonts w:hint="eastAsia" w:eastAsia="仿宋_GB2312"/>
          <w:bCs/>
          <w:color w:val="000000" w:themeColor="text1"/>
          <w:sz w:val="32"/>
          <w:szCs w:val="32"/>
          <w:lang w:eastAsia="zh-CN"/>
          <w14:textFill>
            <w14:solidFill>
              <w14:schemeClr w14:val="tx1"/>
            </w14:solidFill>
          </w14:textFill>
        </w:rPr>
        <w:t>衡所华威电子有限公司</w:t>
      </w:r>
      <w:r>
        <w:rPr>
          <w:rFonts w:hint="eastAsia" w:eastAsia="仿宋_GB2312"/>
          <w:color w:val="000000" w:themeColor="text1"/>
          <w:sz w:val="32"/>
          <w:szCs w:val="32"/>
          <w14:textFill>
            <w14:solidFill>
              <w14:schemeClr w14:val="tx1"/>
            </w14:solidFill>
          </w14:textFill>
        </w:rPr>
        <w:t>：</w:t>
      </w:r>
    </w:p>
    <w:p w14:paraId="2BD684EE">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委托</w:t>
      </w:r>
      <w:r>
        <w:rPr>
          <w:rFonts w:hint="eastAsia" w:eastAsia="仿宋_GB2312"/>
          <w:color w:val="000000" w:themeColor="text1"/>
          <w:sz w:val="32"/>
          <w:szCs w:val="32"/>
          <w14:textFill>
            <w14:solidFill>
              <w14:schemeClr w14:val="tx1"/>
            </w14:solidFill>
          </w14:textFill>
        </w:rPr>
        <w:t>江苏</w:t>
      </w:r>
      <w:r>
        <w:rPr>
          <w:rFonts w:hint="eastAsia" w:eastAsia="仿宋_GB2312"/>
          <w:color w:val="000000" w:themeColor="text1"/>
          <w:sz w:val="32"/>
          <w:szCs w:val="32"/>
          <w:lang w:eastAsia="zh-CN"/>
          <w14:textFill>
            <w14:solidFill>
              <w14:schemeClr w14:val="tx1"/>
            </w14:solidFill>
          </w14:textFill>
        </w:rPr>
        <w:t>意文环境</w:t>
      </w:r>
      <w:r>
        <w:rPr>
          <w:rFonts w:hint="eastAsia" w:eastAsia="仿宋_GB2312"/>
          <w:color w:val="000000" w:themeColor="text1"/>
          <w:sz w:val="32"/>
          <w:szCs w:val="32"/>
          <w14:textFill>
            <w14:solidFill>
              <w14:schemeClr w14:val="tx1"/>
            </w14:solidFill>
          </w14:textFill>
        </w:rPr>
        <w:t>科技有限公司</w:t>
      </w:r>
      <w:r>
        <w:rPr>
          <w:rFonts w:eastAsia="仿宋_GB2312"/>
          <w:color w:val="000000" w:themeColor="text1"/>
          <w:sz w:val="32"/>
          <w:szCs w:val="32"/>
          <w14:textFill>
            <w14:solidFill>
              <w14:schemeClr w14:val="tx1"/>
            </w14:solidFill>
          </w14:textFill>
        </w:rPr>
        <w:t>编制的《</w:t>
      </w:r>
      <w:r>
        <w:rPr>
          <w:rFonts w:hint="eastAsia" w:eastAsia="仿宋_GB2312"/>
          <w:bCs/>
          <w:color w:val="000000" w:themeColor="text1"/>
          <w:sz w:val="32"/>
          <w:szCs w:val="32"/>
          <w:lang w:eastAsia="zh-CN"/>
          <w14:textFill>
            <w14:solidFill>
              <w14:schemeClr w14:val="tx1"/>
            </w14:solidFill>
          </w14:textFill>
        </w:rPr>
        <w:t>高端型透明塑封料产线及原有产线扩建项目</w:t>
      </w:r>
      <w:r>
        <w:rPr>
          <w:rFonts w:hint="eastAsia" w:eastAsia="仿宋_GB2312"/>
          <w:bCs/>
          <w:color w:val="000000" w:themeColor="text1"/>
          <w:sz w:val="32"/>
          <w:szCs w:val="32"/>
          <w14:textFill>
            <w14:solidFill>
              <w14:schemeClr w14:val="tx1"/>
            </w14:solidFill>
          </w14:textFill>
        </w:rPr>
        <w:t>环境影响报告表</w:t>
      </w:r>
      <w:r>
        <w:rPr>
          <w:rFonts w:eastAsia="仿宋_GB2312"/>
          <w:color w:val="000000" w:themeColor="text1"/>
          <w:sz w:val="32"/>
          <w:szCs w:val="32"/>
          <w14:textFill>
            <w14:solidFill>
              <w14:schemeClr w14:val="tx1"/>
            </w14:solidFill>
          </w14:textFill>
        </w:rPr>
        <w:t>》（以下简称《报告表》）收悉</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经研究</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批复如下：</w:t>
      </w:r>
    </w:p>
    <w:p w14:paraId="16069C51">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项目位于连云港高新技术产业开发区宋跳工业园振华路8号，对</w:t>
      </w:r>
      <w:r>
        <w:rPr>
          <w:rFonts w:hint="eastAsia" w:eastAsia="仿宋_GB2312"/>
          <w:color w:val="000000" w:themeColor="text1"/>
          <w:sz w:val="32"/>
          <w:szCs w:val="32"/>
          <w:highlight w:val="none"/>
          <w:lang w:eastAsia="zh-CN"/>
          <w14:textFill>
            <w14:solidFill>
              <w14:schemeClr w14:val="tx1"/>
            </w14:solidFill>
          </w14:textFill>
        </w:rPr>
        <w:t>二部厂区内</w:t>
      </w:r>
      <w:r>
        <w:rPr>
          <w:rFonts w:hint="eastAsia" w:eastAsia="仿宋_GB2312"/>
          <w:color w:val="000000" w:themeColor="text1"/>
          <w:sz w:val="32"/>
          <w:szCs w:val="32"/>
          <w:highlight w:val="none"/>
          <w14:textFill>
            <w14:solidFill>
              <w14:schemeClr w14:val="tx1"/>
            </w14:solidFill>
          </w14:textFill>
        </w:rPr>
        <w:t>现有1号</w:t>
      </w:r>
      <w:r>
        <w:rPr>
          <w:rFonts w:hint="eastAsia" w:eastAsia="仿宋_GB2312"/>
          <w:color w:val="000000" w:themeColor="text1"/>
          <w:sz w:val="32"/>
          <w:szCs w:val="32"/>
          <w:highlight w:val="none"/>
          <w:lang w:eastAsia="zh-CN"/>
          <w14:textFill>
            <w14:solidFill>
              <w14:schemeClr w14:val="tx1"/>
            </w14:solidFill>
          </w14:textFill>
        </w:rPr>
        <w:t>车间</w:t>
      </w:r>
      <w:r>
        <w:rPr>
          <w:rFonts w:hint="eastAsia" w:eastAsia="仿宋_GB2312"/>
          <w:color w:val="000000" w:themeColor="text1"/>
          <w:sz w:val="32"/>
          <w:szCs w:val="32"/>
          <w:highlight w:val="none"/>
          <w14:textFill>
            <w14:solidFill>
              <w14:schemeClr w14:val="tx1"/>
            </w14:solidFill>
          </w14:textFill>
        </w:rPr>
        <w:t>（3000m</w:t>
      </w:r>
      <w:r>
        <w:rPr>
          <w:rFonts w:hint="eastAsia" w:eastAsia="仿宋_GB2312"/>
          <w:color w:val="000000" w:themeColor="text1"/>
          <w:sz w:val="32"/>
          <w:szCs w:val="32"/>
          <w:highlight w:val="none"/>
          <w:vertAlign w:val="superscript"/>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）内既有的两条环氧塑封料产线进行扩建，以及利用厂房内预留的530m</w:t>
      </w:r>
      <w:r>
        <w:rPr>
          <w:rFonts w:hint="eastAsia" w:eastAsia="仿宋_GB2312"/>
          <w:color w:val="000000" w:themeColor="text1"/>
          <w:sz w:val="32"/>
          <w:szCs w:val="32"/>
          <w:highlight w:val="none"/>
          <w:vertAlign w:val="superscript"/>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建筑空间增建一条高端型透明塑封料生产线，引进国外先进的生产设备，结合国产配套设备，实现高效、精密生产</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项目建成后将形成年产5000吨环氧塑封料的产能。总投资1</w:t>
      </w:r>
      <w:r>
        <w:rPr>
          <w:rFonts w:hint="eastAsia" w:eastAsia="仿宋_GB2312"/>
          <w:color w:val="000000" w:themeColor="text1"/>
          <w:sz w:val="32"/>
          <w:szCs w:val="32"/>
          <w:highlight w:val="none"/>
          <w:lang w:val="en-US" w:eastAsia="zh-CN"/>
          <w14:textFill>
            <w14:solidFill>
              <w14:schemeClr w14:val="tx1"/>
            </w14:solidFill>
          </w14:textFill>
        </w:rPr>
        <w:t>0</w:t>
      </w:r>
      <w:r>
        <w:rPr>
          <w:rFonts w:hint="eastAsia" w:eastAsia="仿宋_GB2312"/>
          <w:color w:val="000000" w:themeColor="text1"/>
          <w:sz w:val="32"/>
          <w:szCs w:val="32"/>
          <w:highlight w:val="none"/>
          <w14:textFill>
            <w14:solidFill>
              <w14:schemeClr w14:val="tx1"/>
            </w14:solidFill>
          </w14:textFill>
        </w:rPr>
        <w:t>00万元</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其中环保投资30万元。</w:t>
      </w:r>
      <w:r>
        <w:rPr>
          <w:rFonts w:hint="eastAsia" w:eastAsia="仿宋_GB2312"/>
          <w:color w:val="000000" w:themeColor="text1"/>
          <w:sz w:val="32"/>
          <w:szCs w:val="32"/>
          <w:highlight w:val="none"/>
          <w14:textFill>
            <w14:solidFill>
              <w14:schemeClr w14:val="tx1"/>
            </w14:solidFill>
          </w14:textFill>
        </w:rPr>
        <w:t>项目代码：</w:t>
      </w:r>
      <w:r>
        <w:rPr>
          <w:rFonts w:hint="eastAsia" w:eastAsia="仿宋_GB2312"/>
          <w:color w:val="000000" w:themeColor="text1"/>
          <w:sz w:val="32"/>
          <w:szCs w:val="32"/>
          <w:highlight w:val="none"/>
          <w:lang w:val="en-US" w:eastAsia="zh-CN"/>
          <w14:textFill>
            <w14:solidFill>
              <w14:schemeClr w14:val="tx1"/>
            </w14:solidFill>
          </w14:textFill>
        </w:rPr>
        <w:t>2506-320772-89-01-140637。</w:t>
      </w:r>
    </w:p>
    <w:p w14:paraId="51FAB85F">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二、</w:t>
      </w:r>
      <w:r>
        <w:rPr>
          <w:rFonts w:hint="eastAsia" w:eastAsia="仿宋_GB2312"/>
          <w:color w:val="000000" w:themeColor="text1"/>
          <w:sz w:val="32"/>
          <w:szCs w:val="32"/>
          <w:highlight w:val="none"/>
          <w14:textFill>
            <w14:solidFill>
              <w14:schemeClr w14:val="tx1"/>
            </w14:solidFill>
          </w14:textFill>
        </w:rPr>
        <w:t>根据《报告表</w:t>
      </w:r>
      <w:r>
        <w:rPr>
          <w:rFonts w:hint="eastAsia" w:eastAsia="仿宋_GB2312"/>
          <w:color w:val="000000" w:themeColor="text1"/>
          <w:sz w:val="32"/>
          <w:szCs w:val="32"/>
          <w14:textFill>
            <w14:solidFill>
              <w14:schemeClr w14:val="tx1"/>
            </w14:solidFill>
          </w14:textFill>
        </w:rPr>
        <w:t>》的论述及评价结论</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在</w:t>
      </w:r>
      <w:r>
        <w:rPr>
          <w:rFonts w:eastAsia="仿宋_GB2312"/>
          <w:color w:val="000000" w:themeColor="text1"/>
          <w:sz w:val="32"/>
          <w:szCs w:val="32"/>
          <w14:textFill>
            <w14:solidFill>
              <w14:schemeClr w14:val="tx1"/>
            </w14:solidFill>
          </w14:textFill>
        </w:rPr>
        <w:t>落实《报告表》中提出的各项污染防治、生态</w:t>
      </w:r>
      <w:r>
        <w:rPr>
          <w:rFonts w:hint="eastAsia" w:eastAsia="仿宋_GB2312"/>
          <w:color w:val="000000" w:themeColor="text1"/>
          <w:sz w:val="32"/>
          <w:szCs w:val="32"/>
          <w14:textFill>
            <w14:solidFill>
              <w14:schemeClr w14:val="tx1"/>
            </w14:solidFill>
          </w14:textFill>
        </w:rPr>
        <w:t>环境保护</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风险防范等措施</w:t>
      </w:r>
      <w:r>
        <w:rPr>
          <w:rFonts w:eastAsia="仿宋_GB2312"/>
          <w:color w:val="000000" w:themeColor="text1"/>
          <w:sz w:val="32"/>
          <w:szCs w:val="32"/>
          <w14:textFill>
            <w14:solidFill>
              <w14:schemeClr w14:val="tx1"/>
            </w14:solidFill>
          </w14:textFill>
        </w:rPr>
        <w:t>的前提下</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从</w:t>
      </w:r>
      <w:r>
        <w:rPr>
          <w:rFonts w:hint="eastAsia" w:eastAsia="仿宋_GB2312"/>
          <w:color w:val="000000" w:themeColor="text1"/>
          <w:sz w:val="32"/>
          <w:szCs w:val="32"/>
          <w14:textFill>
            <w14:solidFill>
              <w14:schemeClr w14:val="tx1"/>
            </w14:solidFill>
          </w14:textFill>
        </w:rPr>
        <w:t>生态环境</w:t>
      </w:r>
      <w:r>
        <w:rPr>
          <w:rFonts w:eastAsia="仿宋_GB2312"/>
          <w:color w:val="000000" w:themeColor="text1"/>
          <w:sz w:val="32"/>
          <w:szCs w:val="32"/>
          <w14:textFill>
            <w14:solidFill>
              <w14:schemeClr w14:val="tx1"/>
            </w14:solidFill>
          </w14:textFill>
        </w:rPr>
        <w:t>角度考虑</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同意你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按《报告表》所述内容进行建设。</w:t>
      </w:r>
    </w:p>
    <w:p w14:paraId="13899A3B">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三、在项目工程设计、建设和环境管理中</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你</w:t>
      </w:r>
      <w:r>
        <w:rPr>
          <w:rFonts w:hint="eastAsia" w:eastAsia="仿宋_GB2312"/>
          <w:color w:val="000000" w:themeColor="text1"/>
          <w:sz w:val="32"/>
          <w:szCs w:val="32"/>
          <w14:textFill>
            <w14:solidFill>
              <w14:schemeClr w14:val="tx1"/>
            </w14:solidFill>
          </w14:textFill>
        </w:rPr>
        <w:t>公司</w:t>
      </w:r>
      <w:r>
        <w:rPr>
          <w:rFonts w:eastAsia="仿宋_GB2312"/>
          <w:color w:val="000000" w:themeColor="text1"/>
          <w:sz w:val="32"/>
          <w:szCs w:val="32"/>
          <w14:textFill>
            <w14:solidFill>
              <w14:schemeClr w14:val="tx1"/>
            </w14:solidFill>
          </w14:textFill>
        </w:rPr>
        <w:t>须</w:t>
      </w:r>
      <w:r>
        <w:rPr>
          <w:rFonts w:hint="eastAsia" w:eastAsia="仿宋_GB2312"/>
          <w:color w:val="000000" w:themeColor="text1"/>
          <w:sz w:val="32"/>
          <w:szCs w:val="32"/>
          <w14:textFill>
            <w14:solidFill>
              <w14:schemeClr w14:val="tx1"/>
            </w14:solidFill>
          </w14:textFill>
        </w:rPr>
        <w:t>全过程贯彻清洁生产理念</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落实《报告表》中提出的</w:t>
      </w:r>
      <w:r>
        <w:rPr>
          <w:rFonts w:hint="eastAsia" w:eastAsia="仿宋_GB2312"/>
          <w:color w:val="000000" w:themeColor="text1"/>
          <w:sz w:val="32"/>
          <w:szCs w:val="32"/>
          <w14:textFill>
            <w14:solidFill>
              <w14:schemeClr w14:val="tx1"/>
            </w14:solidFill>
          </w14:textFill>
        </w:rPr>
        <w:t>各项污染防治措施要求</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严格执行环保“三同时”制度</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确保各类污染物稳定达标排放</w:t>
      </w:r>
      <w:r>
        <w:rPr>
          <w:rFonts w:hint="eastAsia" w:eastAsia="仿宋_GB2312"/>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并</w:t>
      </w:r>
      <w:r>
        <w:rPr>
          <w:rFonts w:hint="eastAsia" w:eastAsia="仿宋_GB2312"/>
          <w:color w:val="000000" w:themeColor="text1"/>
          <w:sz w:val="32"/>
          <w:szCs w:val="32"/>
          <w14:textFill>
            <w14:solidFill>
              <w14:schemeClr w14:val="tx1"/>
            </w14:solidFill>
          </w14:textFill>
        </w:rPr>
        <w:t>在项目建设及运营期间重点</w:t>
      </w:r>
      <w:r>
        <w:rPr>
          <w:rFonts w:eastAsia="仿宋_GB2312"/>
          <w:color w:val="000000" w:themeColor="text1"/>
          <w:sz w:val="32"/>
          <w:szCs w:val="32"/>
          <w14:textFill>
            <w14:solidFill>
              <w14:schemeClr w14:val="tx1"/>
            </w14:solidFill>
          </w14:textFill>
        </w:rPr>
        <w:t>落实以下</w:t>
      </w:r>
      <w:r>
        <w:rPr>
          <w:rFonts w:hint="eastAsia" w:eastAsia="仿宋_GB2312"/>
          <w:color w:val="000000" w:themeColor="text1"/>
          <w:sz w:val="32"/>
          <w:szCs w:val="32"/>
          <w14:textFill>
            <w14:solidFill>
              <w14:schemeClr w14:val="tx1"/>
            </w14:solidFill>
          </w14:textFill>
        </w:rPr>
        <w:t>要求</w:t>
      </w:r>
      <w:r>
        <w:rPr>
          <w:rFonts w:eastAsia="仿宋_GB2312"/>
          <w:color w:val="000000" w:themeColor="text1"/>
          <w:sz w:val="32"/>
          <w:szCs w:val="32"/>
          <w14:textFill>
            <w14:solidFill>
              <w14:schemeClr w14:val="tx1"/>
            </w14:solidFill>
          </w14:textFill>
        </w:rPr>
        <w:t>：</w:t>
      </w:r>
    </w:p>
    <w:p w14:paraId="676447B9">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施工期：加强管理，合理安排施工现场，建筑材料遮盖、密闭运输、统一规范堆放，采取定期洒水抑尘、使用商业混凝土、优选低噪声设备、合理安排施工时间等有效措施，减少扬尘、噪声等对周围环境质量的影响；未经批准，不得进行产生噪声污染的夜间作业，边界噪声执行《建筑施工场界环境噪声排放标准》(GB12523-2011)的标准。施工现场产生的废水不得随意排放，需在相应施工场地中设置沉淀池对施工废水进行相应处理重复利用，不外排。项目施工期产生的施工人员生活污水经化粪池处理后进入污水管网。建筑垃圾分类收集、及时清运。</w:t>
      </w:r>
    </w:p>
    <w:p w14:paraId="6D4F8A4D">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运营期：（一）严格落实各项水污染防治措施。本项目废水</w:t>
      </w:r>
      <w:r>
        <w:rPr>
          <w:rFonts w:hint="eastAsia" w:eastAsia="仿宋_GB2312"/>
          <w:color w:val="000000" w:themeColor="text1"/>
          <w:sz w:val="32"/>
          <w:szCs w:val="32"/>
          <w:highlight w:val="none"/>
          <w:lang w:val="en-US" w:eastAsia="zh-CN"/>
          <w14:textFill>
            <w14:solidFill>
              <w14:schemeClr w14:val="tx1"/>
            </w14:solidFill>
          </w14:textFill>
        </w:rPr>
        <w:t>为生活污水，</w:t>
      </w:r>
      <w:r>
        <w:rPr>
          <w:rFonts w:hint="eastAsia" w:eastAsia="仿宋_GB2312"/>
          <w:color w:val="000000" w:themeColor="text1"/>
          <w:sz w:val="32"/>
          <w:szCs w:val="32"/>
          <w:highlight w:val="none"/>
          <w14:textFill>
            <w14:solidFill>
              <w14:schemeClr w14:val="tx1"/>
            </w14:solidFill>
          </w14:textFill>
        </w:rPr>
        <w:t>经化粪池处理后接管至连云港恒隆水务有限公司大浦工业区污水处理厂集中处理</w:t>
      </w:r>
      <w:r>
        <w:rPr>
          <w:rFonts w:hint="eastAsia" w:eastAsia="仿宋_GB2312"/>
          <w:color w:val="000000" w:themeColor="text1"/>
          <w:sz w:val="32"/>
          <w:szCs w:val="32"/>
          <w:highlight w:val="none"/>
          <w:lang w:val="en-US" w:eastAsia="zh-CN"/>
          <w14:textFill>
            <w14:solidFill>
              <w14:schemeClr w14:val="tx1"/>
            </w14:solidFill>
          </w14:textFill>
        </w:rPr>
        <w:t>。</w:t>
      </w:r>
    </w:p>
    <w:p w14:paraId="069F2C81">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（二）严格落实大气污染防治措施，确保各类废气达标排放。</w:t>
      </w:r>
    </w:p>
    <w:p w14:paraId="7FC3B7DB">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本项</w:t>
      </w:r>
      <w:r>
        <w:rPr>
          <w:rFonts w:hint="eastAsia" w:eastAsia="仿宋_GB2312"/>
          <w:color w:val="000000" w:themeColor="text1"/>
          <w:sz w:val="32"/>
          <w:szCs w:val="32"/>
          <w:highlight w:val="none"/>
          <w:lang w:eastAsia="zh-CN"/>
          <w14:textFill>
            <w14:solidFill>
              <w14:schemeClr w14:val="tx1"/>
            </w14:solidFill>
          </w14:textFill>
        </w:rPr>
        <w:t>目废气主要为</w:t>
      </w:r>
      <w:r>
        <w:rPr>
          <w:rFonts w:hint="default" w:eastAsia="仿宋_GB2312"/>
          <w:color w:val="000000" w:themeColor="text1"/>
          <w:sz w:val="32"/>
          <w:szCs w:val="32"/>
          <w:highlight w:val="none"/>
          <w:lang w:eastAsia="zh-CN"/>
          <w14:textFill>
            <w14:solidFill>
              <w14:schemeClr w14:val="tx1"/>
            </w14:solidFill>
          </w14:textFill>
        </w:rPr>
        <w:t>投料粉尘、混合粉尘，粗碎、细碎、筛分产生的粉尘</w:t>
      </w:r>
      <w:r>
        <w:rPr>
          <w:rFonts w:hint="eastAsia" w:eastAsia="仿宋_GB2312"/>
          <w:color w:val="000000" w:themeColor="text1"/>
          <w:sz w:val="32"/>
          <w:szCs w:val="32"/>
          <w:highlight w:val="none"/>
          <w:lang w:val="en-US" w:eastAsia="zh-CN"/>
          <w14:textFill>
            <w14:solidFill>
              <w14:schemeClr w14:val="tx1"/>
            </w14:solidFill>
          </w14:textFill>
        </w:rPr>
        <w:t>废气，挤出成型、</w:t>
      </w:r>
      <w:r>
        <w:rPr>
          <w:rFonts w:hint="default" w:eastAsia="仿宋_GB2312"/>
          <w:color w:val="000000" w:themeColor="text1"/>
          <w:sz w:val="32"/>
          <w:szCs w:val="32"/>
          <w:highlight w:val="none"/>
          <w:lang w:eastAsia="zh-CN"/>
          <w14:textFill>
            <w14:solidFill>
              <w14:schemeClr w14:val="tx1"/>
            </w14:solidFill>
          </w14:textFill>
        </w:rPr>
        <w:t>熔融混合</w:t>
      </w:r>
      <w:r>
        <w:rPr>
          <w:rFonts w:hint="eastAsia" w:eastAsia="仿宋_GB2312"/>
          <w:color w:val="000000" w:themeColor="text1"/>
          <w:sz w:val="32"/>
          <w:szCs w:val="32"/>
          <w:highlight w:val="none"/>
          <w:lang w:eastAsia="zh-CN"/>
          <w14:textFill>
            <w14:solidFill>
              <w14:schemeClr w14:val="tx1"/>
            </w14:solidFill>
          </w14:textFill>
        </w:rPr>
        <w:t>产生的有机废气</w:t>
      </w:r>
      <w:r>
        <w:rPr>
          <w:rFonts w:hint="eastAsia" w:eastAsia="仿宋_GB2312"/>
          <w:color w:val="000000" w:themeColor="text1"/>
          <w:sz w:val="32"/>
          <w:szCs w:val="32"/>
          <w:highlight w:val="none"/>
          <w:lang w:val="en-US" w:eastAsia="zh-CN"/>
          <w14:textFill>
            <w14:solidFill>
              <w14:schemeClr w14:val="tx1"/>
            </w14:solidFill>
          </w14:textFill>
        </w:rPr>
        <w:t>以及臭气</w:t>
      </w:r>
      <w:r>
        <w:rPr>
          <w:rFonts w:hint="eastAsia" w:eastAsia="仿宋_GB2312"/>
          <w:color w:val="000000" w:themeColor="text1"/>
          <w:sz w:val="32"/>
          <w:szCs w:val="32"/>
          <w:highlight w:val="none"/>
          <w:lang w:eastAsia="zh-CN"/>
          <w14:textFill>
            <w14:solidFill>
              <w14:schemeClr w14:val="tx1"/>
            </w14:solidFill>
          </w14:textFill>
        </w:rPr>
        <w:t>。</w:t>
      </w:r>
    </w:p>
    <w:p w14:paraId="1F761EEA">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扩建生产线产生的粉尘收集后引至布袋除尘器处理，通过15m高排气筒H1高空排放，新建生产线产生的粉尘经收集后引至布袋除尘器处理，通过15m高排气筒H10排放，粉尘废气的排放浓度及排放速率应满足《大气污染物综合排放标准》（DB32/4040-2021）表1中相关标准限值要求；扩建生产线与新建生产线产生的有机废气统一收集后经过二级活性炭吸附处理，通过15米高排气筒H9排放，有机废气排放浓度应满足《合成树脂工业污染物排放标准》（GB31572-2015）及2024年修改单表5中相关标准限值，臭气浓度有组织排放应满足《恶臭污染物排放标准》（GB14554-93）表2标准；危废仓库废气经过“二级活性炭”设施处理后，通过15m高排气筒（H6）排放，排放浓度及速率</w:t>
      </w:r>
      <w:r>
        <w:rPr>
          <w:rFonts w:hint="eastAsia" w:eastAsia="仿宋_GB2312"/>
          <w:color w:val="000000" w:themeColor="text1"/>
          <w:sz w:val="32"/>
          <w:szCs w:val="32"/>
          <w:highlight w:val="none"/>
          <w:lang w:val="en-US" w:eastAsia="zh-CN"/>
          <w14:textFill>
            <w14:solidFill>
              <w14:schemeClr w14:val="tx1"/>
            </w14:solidFill>
          </w14:textFill>
        </w:rPr>
        <w:t>应满足《大气污染物综合排放标准》（DB32/4040-2021）表1中相关标准限值要求。</w:t>
      </w:r>
    </w:p>
    <w:p w14:paraId="636B769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bookmarkStart w:id="0" w:name="_Hlk190951186"/>
      <w:r>
        <w:rPr>
          <w:rFonts w:hint="eastAsia" w:eastAsia="仿宋_GB2312"/>
          <w:color w:val="000000" w:themeColor="text1"/>
          <w:sz w:val="32"/>
          <w:szCs w:val="32"/>
          <w:highlight w:val="none"/>
          <w:lang w:val="en-US" w:eastAsia="zh-CN"/>
          <w14:textFill>
            <w14:solidFill>
              <w14:schemeClr w14:val="tx1"/>
            </w14:solidFill>
          </w14:textFill>
        </w:rPr>
        <w:t>颗粒物无组织排放执行《大气污染物综合排放标准》（DB32/4040-2021）表3中相关标准限值，非甲烷总烃、甲苯无组织排放执行《合成树脂工业污染物排放标准》（GB31572-2015）（含2024年修改单）表9中相关标准限值，甲醛、酚类无组织排放执行《大气污染物综合排放标准》（DB32/4041-2021）表3中相关标准限值，臭气浓度无组织排放执行《恶臭污染物排放标准》（GB14554-93）表1标准</w:t>
      </w:r>
      <w:bookmarkEnd w:id="0"/>
      <w:r>
        <w:rPr>
          <w:rFonts w:hint="eastAsia" w:eastAsia="仿宋_GB2312"/>
          <w:color w:val="000000" w:themeColor="text1"/>
          <w:sz w:val="32"/>
          <w:szCs w:val="32"/>
          <w:highlight w:val="none"/>
          <w:lang w:val="en-US" w:eastAsia="zh-CN"/>
          <w14:textFill>
            <w14:solidFill>
              <w14:schemeClr w14:val="tx1"/>
            </w14:solidFill>
          </w14:textFill>
        </w:rPr>
        <w:t>。测试工序产生的非甲烷总烃有组织排放执行《大气污染物综合排放标准》（DB32/4041-2021）表1中相关标准限值。</w:t>
      </w:r>
    </w:p>
    <w:p w14:paraId="4CED641B">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（三）严格落实</w:t>
      </w:r>
      <w:r>
        <w:rPr>
          <w:rFonts w:hint="eastAsia" w:eastAsia="仿宋_GB2312"/>
          <w:color w:val="000000" w:themeColor="text1"/>
          <w:sz w:val="32"/>
          <w:szCs w:val="32"/>
          <w:highlight w:val="none"/>
          <w:lang w:val="en-US" w:eastAsia="zh-CN"/>
          <w14:textFill>
            <w14:solidFill>
              <w14:schemeClr w14:val="tx1"/>
            </w14:solidFill>
          </w14:textFill>
        </w:rPr>
        <w:t>报告提出的</w:t>
      </w:r>
      <w:r>
        <w:rPr>
          <w:rFonts w:hint="eastAsia" w:eastAsia="仿宋_GB2312"/>
          <w:color w:val="000000" w:themeColor="text1"/>
          <w:sz w:val="32"/>
          <w:szCs w:val="32"/>
          <w:highlight w:val="none"/>
          <w:lang w:eastAsia="zh-CN"/>
          <w14:textFill>
            <w14:solidFill>
              <w14:schemeClr w14:val="tx1"/>
            </w14:solidFill>
          </w14:textFill>
        </w:rPr>
        <w:t>减振等源头降噪措施，辅以厂房隔声、距离衰减、加强管理等措施。厂界噪声</w:t>
      </w:r>
      <w:r>
        <w:rPr>
          <w:rFonts w:hint="eastAsia" w:eastAsia="仿宋_GB2312"/>
          <w:color w:val="000000" w:themeColor="text1"/>
          <w:sz w:val="32"/>
          <w:szCs w:val="32"/>
          <w:highlight w:val="none"/>
          <w:lang w:val="en-US" w:eastAsia="zh-CN"/>
          <w14:textFill>
            <w14:solidFill>
              <w14:schemeClr w14:val="tx1"/>
            </w14:solidFill>
          </w14:textFill>
        </w:rPr>
        <w:t>应</w:t>
      </w:r>
      <w:r>
        <w:rPr>
          <w:rFonts w:hint="eastAsia" w:eastAsia="仿宋_GB2312"/>
          <w:color w:val="000000" w:themeColor="text1"/>
          <w:sz w:val="32"/>
          <w:szCs w:val="32"/>
          <w:highlight w:val="none"/>
          <w:lang w:eastAsia="zh-CN"/>
          <w14:textFill>
            <w14:solidFill>
              <w14:schemeClr w14:val="tx1"/>
            </w14:solidFill>
          </w14:textFill>
        </w:rPr>
        <w:t>满足《工业企业厂界环境噪声排放标准》（GB12348-2008）</w:t>
      </w:r>
      <w:r>
        <w:rPr>
          <w:rFonts w:hint="eastAsia" w:eastAsia="仿宋_GB2312"/>
          <w:color w:val="000000" w:themeColor="text1"/>
          <w:sz w:val="32"/>
          <w:szCs w:val="32"/>
          <w:highlight w:val="none"/>
          <w:lang w:val="en-US" w:eastAsia="zh-CN"/>
          <w14:textFill>
            <w14:solidFill>
              <w14:schemeClr w14:val="tx1"/>
            </w14:solidFill>
          </w14:textFill>
        </w:rPr>
        <w:t>2、4类</w:t>
      </w:r>
      <w:r>
        <w:rPr>
          <w:rFonts w:hint="eastAsia" w:eastAsia="仿宋_GB2312"/>
          <w:color w:val="000000" w:themeColor="text1"/>
          <w:sz w:val="32"/>
          <w:szCs w:val="32"/>
          <w:highlight w:val="none"/>
          <w:lang w:eastAsia="zh-CN"/>
          <w14:textFill>
            <w14:solidFill>
              <w14:schemeClr w14:val="tx1"/>
            </w14:solidFill>
          </w14:textFill>
        </w:rPr>
        <w:t>标准要求。</w:t>
      </w:r>
    </w:p>
    <w:p w14:paraId="5DE24C40">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（四）严格落实固体废物污染防治措施。按“资源化、减量化、无害化”的处置原则，落实固体废物的收集、贮存和处置措施。本项目产生的固废主要有</w:t>
      </w:r>
      <w:bookmarkStart w:id="1" w:name="OLE_LINK23"/>
      <w:r>
        <w:rPr>
          <w:rFonts w:hint="eastAsia" w:eastAsia="仿宋_GB2312"/>
          <w:color w:val="000000" w:themeColor="text1"/>
          <w:sz w:val="32"/>
          <w:szCs w:val="32"/>
          <w:highlight w:val="none"/>
          <w:lang w:eastAsia="zh-CN"/>
          <w14:textFill>
            <w14:solidFill>
              <w14:schemeClr w14:val="tx1"/>
            </w14:solidFill>
          </w14:textFill>
        </w:rPr>
        <w:t>布袋除尘器收集粉尘、废金属、金属探测不合格产品、废润滑油、废油桶、</w:t>
      </w:r>
      <w:bookmarkEnd w:id="1"/>
      <w:r>
        <w:rPr>
          <w:rFonts w:hint="eastAsia" w:eastAsia="仿宋_GB2312"/>
          <w:color w:val="000000" w:themeColor="text1"/>
          <w:sz w:val="32"/>
          <w:szCs w:val="32"/>
          <w:highlight w:val="none"/>
          <w:lang w:eastAsia="zh-CN"/>
          <w14:textFill>
            <w14:solidFill>
              <w14:schemeClr w14:val="tx1"/>
            </w14:solidFill>
          </w14:textFill>
        </w:rPr>
        <w:t>废劳保用品</w:t>
      </w:r>
      <w:r>
        <w:rPr>
          <w:rFonts w:hint="eastAsia" w:eastAsia="仿宋_GB2312"/>
          <w:color w:val="000000" w:themeColor="text1"/>
          <w:sz w:val="32"/>
          <w:szCs w:val="32"/>
          <w:highlight w:val="none"/>
          <w:lang w:val="en-US" w:eastAsia="zh-CN"/>
          <w14:textFill>
            <w14:solidFill>
              <w14:schemeClr w14:val="tx1"/>
            </w14:solidFill>
          </w14:textFill>
        </w:rPr>
        <w:t>、废活性炭、生活垃圾</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其中</w:t>
      </w:r>
      <w:r>
        <w:rPr>
          <w:rFonts w:hint="eastAsia" w:eastAsia="仿宋_GB2312"/>
          <w:color w:val="000000" w:themeColor="text1"/>
          <w:sz w:val="32"/>
          <w:szCs w:val="32"/>
          <w:highlight w:val="none"/>
          <w:lang w:eastAsia="zh-CN"/>
          <w14:textFill>
            <w14:solidFill>
              <w14:schemeClr w14:val="tx1"/>
            </w14:solidFill>
          </w14:textFill>
        </w:rPr>
        <w:t>除尘器收集粉尘、废金属</w:t>
      </w:r>
      <w:r>
        <w:rPr>
          <w:rFonts w:hint="eastAsia" w:eastAsia="仿宋_GB2312"/>
          <w:color w:val="000000" w:themeColor="text1"/>
          <w:sz w:val="32"/>
          <w:szCs w:val="32"/>
          <w:highlight w:val="none"/>
          <w:lang w:val="en-US" w:eastAsia="zh-CN"/>
          <w14:textFill>
            <w14:solidFill>
              <w14:schemeClr w14:val="tx1"/>
            </w14:solidFill>
          </w14:textFill>
        </w:rPr>
        <w:t>外售，</w:t>
      </w:r>
      <w:r>
        <w:rPr>
          <w:rFonts w:hint="eastAsia" w:eastAsia="仿宋_GB2312"/>
          <w:color w:val="000000" w:themeColor="text1"/>
          <w:sz w:val="32"/>
          <w:szCs w:val="32"/>
          <w:highlight w:val="none"/>
          <w:lang w:eastAsia="zh-CN"/>
          <w14:textFill>
            <w14:solidFill>
              <w14:schemeClr w14:val="tx1"/>
            </w14:solidFill>
          </w14:textFill>
        </w:rPr>
        <w:t>金属探测不合格产品</w:t>
      </w:r>
      <w:r>
        <w:rPr>
          <w:rFonts w:hint="eastAsia" w:eastAsia="仿宋_GB2312"/>
          <w:color w:val="000000" w:themeColor="text1"/>
          <w:sz w:val="32"/>
          <w:szCs w:val="32"/>
          <w:highlight w:val="none"/>
          <w:lang w:val="en-US" w:eastAsia="zh-CN"/>
          <w14:textFill>
            <w14:solidFill>
              <w14:schemeClr w14:val="tx1"/>
            </w14:solidFill>
          </w14:textFill>
        </w:rPr>
        <w:t>作为原料回用</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依托</w:t>
      </w:r>
      <w:r>
        <w:rPr>
          <w:rFonts w:hint="eastAsia" w:eastAsia="仿宋_GB2312"/>
          <w:color w:val="000000" w:themeColor="text1"/>
          <w:sz w:val="32"/>
          <w:szCs w:val="32"/>
          <w:highlight w:val="none"/>
          <w:lang w:eastAsia="zh-CN"/>
          <w14:textFill>
            <w14:solidFill>
              <w14:schemeClr w14:val="tx1"/>
            </w14:solidFill>
          </w14:textFill>
        </w:rPr>
        <w:t>现有50m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eastAsia="zh-CN"/>
          <w14:textFill>
            <w14:solidFill>
              <w14:schemeClr w14:val="tx1"/>
            </w14:solidFill>
          </w14:textFill>
        </w:rPr>
        <w:t>一般固废仓库暂存。一般工业固废贮存、转移及处置</w:t>
      </w:r>
      <w:r>
        <w:rPr>
          <w:rFonts w:hint="eastAsia" w:eastAsia="仿宋_GB2312"/>
          <w:color w:val="000000" w:themeColor="text1"/>
          <w:sz w:val="32"/>
          <w:szCs w:val="32"/>
          <w:highlight w:val="none"/>
          <w:lang w:val="en-US" w:eastAsia="zh-CN"/>
          <w14:textFill>
            <w14:solidFill>
              <w14:schemeClr w14:val="tx1"/>
            </w14:solidFill>
          </w14:textFill>
        </w:rPr>
        <w:t>应满足</w:t>
      </w:r>
      <w:r>
        <w:rPr>
          <w:rFonts w:hint="eastAsia" w:eastAsia="仿宋_GB2312"/>
          <w:color w:val="000000" w:themeColor="text1"/>
          <w:sz w:val="32"/>
          <w:szCs w:val="32"/>
          <w:highlight w:val="none"/>
          <w:lang w:eastAsia="zh-CN"/>
          <w14:textFill>
            <w14:solidFill>
              <w14:schemeClr w14:val="tx1"/>
            </w14:solidFill>
          </w14:textFill>
        </w:rPr>
        <w:t>《一般工业固体废物贮存和填埋污染控制标准》(GB18599-2020)中相关标准。废润滑油、废油桶、含油手套和抹布、废活性炭委托有资质单位处置，</w:t>
      </w:r>
      <w:r>
        <w:rPr>
          <w:rFonts w:hint="eastAsia" w:eastAsia="仿宋_GB2312"/>
          <w:color w:val="000000" w:themeColor="text1"/>
          <w:sz w:val="32"/>
          <w:szCs w:val="32"/>
          <w:highlight w:val="none"/>
          <w:lang w:val="en-US" w:eastAsia="zh-CN"/>
          <w14:textFill>
            <w14:solidFill>
              <w14:schemeClr w14:val="tx1"/>
            </w14:solidFill>
          </w14:textFill>
        </w:rPr>
        <w:t>依托</w:t>
      </w:r>
      <w:r>
        <w:rPr>
          <w:rFonts w:hint="eastAsia" w:eastAsia="仿宋_GB2312"/>
          <w:color w:val="000000" w:themeColor="text1"/>
          <w:sz w:val="32"/>
          <w:szCs w:val="32"/>
          <w:highlight w:val="none"/>
          <w:lang w:eastAsia="zh-CN"/>
          <w14:textFill>
            <w14:solidFill>
              <w14:schemeClr w14:val="tx1"/>
            </w14:solidFill>
          </w14:textFill>
        </w:rPr>
        <w:t>现有</w:t>
      </w:r>
      <w:r>
        <w:rPr>
          <w:rFonts w:hint="eastAsia" w:eastAsia="仿宋_GB2312"/>
          <w:color w:val="000000" w:themeColor="text1"/>
          <w:sz w:val="32"/>
          <w:szCs w:val="32"/>
          <w:highlight w:val="none"/>
          <w:lang w:val="en-US" w:eastAsia="zh-CN"/>
          <w14:textFill>
            <w14:solidFill>
              <w14:schemeClr w14:val="tx1"/>
            </w14:solidFill>
          </w14:textFill>
        </w:rPr>
        <w:t>2</w:t>
      </w:r>
      <w:r>
        <w:rPr>
          <w:rFonts w:hint="eastAsia" w:eastAsia="仿宋_GB2312"/>
          <w:color w:val="000000" w:themeColor="text1"/>
          <w:sz w:val="32"/>
          <w:szCs w:val="32"/>
          <w:highlight w:val="none"/>
          <w:lang w:eastAsia="zh-CN"/>
          <w14:textFill>
            <w14:solidFill>
              <w14:schemeClr w14:val="tx1"/>
            </w14:solidFill>
          </w14:textFill>
        </w:rPr>
        <w:t>0m</w:t>
      </w:r>
      <w:r>
        <w:rPr>
          <w:rFonts w:hint="eastAsia" w:eastAsia="仿宋_GB2312"/>
          <w:color w:val="000000" w:themeColor="text1"/>
          <w:sz w:val="32"/>
          <w:szCs w:val="32"/>
          <w:highlight w:val="none"/>
          <w:vertAlign w:val="superscript"/>
          <w:lang w:eastAsia="zh-CN"/>
          <w14:textFill>
            <w14:solidFill>
              <w14:schemeClr w14:val="tx1"/>
            </w14:solidFill>
          </w14:textFill>
        </w:rPr>
        <w:t>2</w:t>
      </w:r>
      <w:r>
        <w:rPr>
          <w:rFonts w:hint="eastAsia" w:eastAsia="仿宋_GB2312"/>
          <w:color w:val="000000" w:themeColor="text1"/>
          <w:sz w:val="32"/>
          <w:szCs w:val="32"/>
          <w:highlight w:val="none"/>
          <w:lang w:val="en-US" w:eastAsia="zh-CN"/>
          <w14:textFill>
            <w14:solidFill>
              <w14:schemeClr w14:val="tx1"/>
            </w14:solidFill>
          </w14:textFill>
        </w:rPr>
        <w:t>危废库贮存</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危险固废厂内暂存执行《危险废物贮存污染控制标准》（GB18597-2023）的有关规定要求。危险废物的转移须严格按照《危险废物转移联单管理办法》执行。同时应按照《省生态环境厅关于做好&lt;国家危险废物名录&gt;（2025版）实施后危险废物环境管理衔接工作的通知》（苏环办〔2024〕304号）、《江苏省固体废物全过程环境监管工作意见》（苏环办〔2024〕116号）等相关要求执行。</w:t>
      </w:r>
    </w:p>
    <w:p w14:paraId="5C105947">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（五）加强设备运行及环境风险管理，落实《报告表》提出的风险防范措施，</w:t>
      </w:r>
      <w:r>
        <w:rPr>
          <w:rFonts w:hint="eastAsia" w:eastAsia="仿宋_GB2312"/>
          <w:color w:val="000000" w:themeColor="text1"/>
          <w:sz w:val="32"/>
          <w:szCs w:val="32"/>
          <w:highlight w:val="none"/>
          <w:lang w:val="en-US" w:eastAsia="zh-CN"/>
          <w14:textFill>
            <w14:solidFill>
              <w14:schemeClr w14:val="tx1"/>
            </w14:solidFill>
          </w14:textFill>
        </w:rPr>
        <w:t>更新</w:t>
      </w:r>
      <w:r>
        <w:rPr>
          <w:rFonts w:hint="eastAsia" w:eastAsia="仿宋_GB2312"/>
          <w:color w:val="000000" w:themeColor="text1"/>
          <w:sz w:val="32"/>
          <w:szCs w:val="32"/>
          <w:highlight w:val="none"/>
          <w:lang w:eastAsia="zh-CN"/>
          <w14:textFill>
            <w14:solidFill>
              <w14:schemeClr w14:val="tx1"/>
            </w14:solidFill>
          </w14:textFill>
        </w:rPr>
        <w:t>全厂突发环境事故应急预案，采取切实可行的工程控制和管理措施，防止发生污染事故，</w:t>
      </w:r>
      <w:r>
        <w:rPr>
          <w:rFonts w:hint="eastAsia" w:eastAsia="仿宋_GB2312"/>
          <w:color w:val="000000" w:themeColor="text1"/>
          <w:sz w:val="32"/>
          <w:szCs w:val="32"/>
          <w:highlight w:val="none"/>
          <w:lang w:val="en-US" w:eastAsia="zh-CN"/>
          <w14:textFill>
            <w14:solidFill>
              <w14:schemeClr w14:val="tx1"/>
            </w14:solidFill>
          </w14:textFill>
        </w:rPr>
        <w:t>同时开展</w:t>
      </w:r>
      <w:r>
        <w:rPr>
          <w:rFonts w:hint="eastAsia" w:eastAsia="仿宋_GB2312"/>
          <w:color w:val="000000" w:themeColor="text1"/>
          <w:sz w:val="32"/>
          <w:szCs w:val="32"/>
          <w:highlight w:val="none"/>
          <w:lang w:eastAsia="zh-CN"/>
          <w14:textFill>
            <w14:solidFill>
              <w14:schemeClr w14:val="tx1"/>
            </w14:solidFill>
          </w14:textFill>
        </w:rPr>
        <w:t>环保设施</w:t>
      </w:r>
      <w:r>
        <w:rPr>
          <w:rFonts w:hint="eastAsia" w:eastAsia="仿宋_GB2312"/>
          <w:color w:val="000000" w:themeColor="text1"/>
          <w:sz w:val="32"/>
          <w:szCs w:val="32"/>
          <w:highlight w:val="none"/>
          <w:lang w:val="en-US" w:eastAsia="zh-CN"/>
          <w14:textFill>
            <w14:solidFill>
              <w14:schemeClr w14:val="tx1"/>
            </w14:solidFill>
          </w14:textFill>
        </w:rPr>
        <w:t>安全风险辨识，关注</w:t>
      </w:r>
      <w:r>
        <w:rPr>
          <w:rFonts w:hint="eastAsia" w:eastAsia="仿宋_GB2312"/>
          <w:color w:val="000000" w:themeColor="text1"/>
          <w:sz w:val="32"/>
          <w:szCs w:val="32"/>
          <w:highlight w:val="none"/>
          <w:lang w:eastAsia="zh-CN"/>
          <w14:textFill>
            <w14:solidFill>
              <w14:schemeClr w14:val="tx1"/>
            </w14:solidFill>
          </w14:textFill>
        </w:rPr>
        <w:t>环保设施安全风险评估工作。做好重点区域防渗措施，防止土壤和地下水污染。</w:t>
      </w:r>
    </w:p>
    <w:p w14:paraId="4A64080A">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（六）按照《江苏省排污口设置及规范化整治管理办法》的规定设置排污口和标志。按《报告表》提出的环境管理与监测计划实施日常环境管理与监测</w:t>
      </w:r>
      <w:r>
        <w:rPr>
          <w:rFonts w:eastAsia="仿宋_GB2312"/>
          <w:color w:val="000000" w:themeColor="text1"/>
          <w:sz w:val="32"/>
          <w:szCs w:val="32"/>
          <w:highlight w:val="none"/>
          <w14:textFill>
            <w14:solidFill>
              <w14:schemeClr w14:val="tx1"/>
            </w14:solidFill>
          </w14:textFill>
        </w:rPr>
        <w:t>。</w:t>
      </w:r>
    </w:p>
    <w:p w14:paraId="7AEAF21F">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四、本项目实施后</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主要</w:t>
      </w:r>
      <w:r>
        <w:rPr>
          <w:rFonts w:eastAsia="仿宋_GB2312"/>
          <w:color w:val="000000" w:themeColor="text1"/>
          <w:sz w:val="32"/>
          <w:szCs w:val="32"/>
          <w:highlight w:val="none"/>
          <w14:textFill>
            <w14:solidFill>
              <w14:schemeClr w14:val="tx1"/>
            </w14:solidFill>
          </w14:textFill>
        </w:rPr>
        <w:t>污染物年排放总量核定为：</w:t>
      </w:r>
    </w:p>
    <w:p w14:paraId="3953031C">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hint="eastAsia"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（一）本项目</w:t>
      </w:r>
    </w:p>
    <w:p w14:paraId="7D642C55">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大气污染物</w:t>
      </w:r>
      <w:r>
        <w:rPr>
          <w:rFonts w:hint="eastAsia" w:eastAsia="仿宋_GB2312"/>
          <w:color w:val="000000" w:themeColor="text1"/>
          <w:sz w:val="32"/>
          <w:szCs w:val="32"/>
          <w:highlight w:val="none"/>
          <w:lang w:val="en-US" w:eastAsia="zh-CN"/>
          <w14:textFill>
            <w14:solidFill>
              <w14:schemeClr w14:val="tx1"/>
            </w14:solidFill>
          </w14:textFill>
        </w:rPr>
        <w:t>:VOCs0.266t/a</w:t>
      </w:r>
      <w:r>
        <w:rPr>
          <w:rFonts w:eastAsia="仿宋_GB2312"/>
          <w:color w:val="000000" w:themeColor="text1"/>
          <w:sz w:val="32"/>
          <w:szCs w:val="32"/>
          <w:highlight w:val="none"/>
          <w14:textFill>
            <w14:solidFill>
              <w14:schemeClr w14:val="tx1"/>
            </w14:solidFill>
          </w14:textFill>
        </w:rPr>
        <w:t>。</w:t>
      </w:r>
    </w:p>
    <w:p w14:paraId="31841C20">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建成后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二部厂区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全厂</w:t>
      </w:r>
    </w:p>
    <w:p w14:paraId="434560DE">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（1）废气总量：颗粒物</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2.411t/a，VOCs</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0.75888t/a（包括乙醇</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0.00024t/a、丙酮</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0.00056t/a、酚类</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0.041t/a、甲苯</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0.205t/a、环氧氯丙烷</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0.014t/a、甲醛</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0.014t/a）、SO</w:t>
      </w:r>
      <w:r>
        <w:rPr>
          <w:rFonts w:hint="eastAsia" w:ascii="Times New Roman" w:hAnsi="Times New Roman" w:eastAsia="仿宋_GB2312" w:cs="Times New Roman"/>
          <w:color w:val="000000" w:themeColor="text1"/>
          <w:sz w:val="32"/>
          <w:szCs w:val="32"/>
          <w:highlight w:val="none"/>
          <w:vertAlign w:val="subscript"/>
          <w:lang w:eastAsia="zh-CN"/>
          <w14:textFill>
            <w14:solidFill>
              <w14:schemeClr w14:val="tx1"/>
            </w14:solidFill>
          </w14:textFill>
        </w:rPr>
        <w:t>2</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0.012t/a、NOx</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0.014t/a、氯化氢</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0.001848t/a、氟化氢</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0.000288t/a。</w:t>
      </w:r>
    </w:p>
    <w:p w14:paraId="3C3A15CA">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（2）废水总量（接管考核量）：废水量</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8072.2m</w:t>
      </w:r>
      <w:r>
        <w:rPr>
          <w:rFonts w:hint="eastAsia" w:ascii="Times New Roman" w:hAnsi="Times New Roman" w:eastAsia="仿宋_GB2312" w:cs="Times New Roman"/>
          <w:color w:val="000000" w:themeColor="text1"/>
          <w:sz w:val="32"/>
          <w:szCs w:val="32"/>
          <w:highlight w:val="none"/>
          <w:vertAlign w:val="super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/a，COD</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4.01t/a、SS</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2.982t/a、NH</w:t>
      </w:r>
      <w:r>
        <w:rPr>
          <w:rFonts w:hint="eastAsia" w:ascii="Times New Roman" w:hAnsi="Times New Roman" w:eastAsia="仿宋_GB2312" w:cs="Times New Roman"/>
          <w:color w:val="000000" w:themeColor="text1"/>
          <w:sz w:val="32"/>
          <w:szCs w:val="32"/>
          <w:highlight w:val="none"/>
          <w:vertAlign w:val="sub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-N</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0.245t/a、TP</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0.051t/a、TN</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0.367t/a；</w:t>
      </w:r>
    </w:p>
    <w:p w14:paraId="0731281A">
      <w:pPr>
        <w:keepNext w:val="0"/>
        <w:keepLines w:val="0"/>
        <w:pageBreakBefore w:val="0"/>
        <w:widowControl w:val="0"/>
        <w:kinsoku/>
        <w:wordWrap w:val="0"/>
        <w:overflowPunct/>
        <w:topLinePunct w:val="0"/>
        <w:autoSpaceDE/>
        <w:autoSpaceDN/>
        <w:bidi w:val="0"/>
        <w:adjustRightInd w:val="0"/>
        <w:snapToGrid w:val="0"/>
        <w:spacing w:line="48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废水最终外排环境量：废水量</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8072.2m</w:t>
      </w:r>
      <w:r>
        <w:rPr>
          <w:rFonts w:hint="eastAsia" w:ascii="Times New Roman" w:hAnsi="Times New Roman" w:eastAsia="仿宋_GB2312" w:cs="Times New Roman"/>
          <w:color w:val="000000" w:themeColor="text1"/>
          <w:sz w:val="32"/>
          <w:szCs w:val="32"/>
          <w:highlight w:val="none"/>
          <w:vertAlign w:val="super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/a，COD</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0.4011t/a、SS</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0.0804t/a、NH</w:t>
      </w:r>
      <w:r>
        <w:rPr>
          <w:rFonts w:hint="eastAsia" w:ascii="Times New Roman" w:hAnsi="Times New Roman" w:eastAsia="仿宋_GB2312" w:cs="Times New Roman"/>
          <w:color w:val="000000" w:themeColor="text1"/>
          <w:sz w:val="32"/>
          <w:szCs w:val="32"/>
          <w:highlight w:val="none"/>
          <w:vertAlign w:val="subscript"/>
          <w:lang w:eastAsia="zh-CN"/>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-N</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0.0379t/a、TP</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0.0041t/a、TN</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0.1211t/a。</w:t>
      </w:r>
    </w:p>
    <w:p w14:paraId="314C5B48">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固废废物：全部综合利用或安全处置。</w:t>
      </w:r>
    </w:p>
    <w:p w14:paraId="58944DAC">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五、</w:t>
      </w:r>
      <w:r>
        <w:rPr>
          <w:rFonts w:eastAsia="仿宋_GB2312"/>
          <w:color w:val="000000" w:themeColor="text1"/>
          <w:sz w:val="32"/>
          <w:szCs w:val="32"/>
          <w:highlight w:val="none"/>
          <w14:textFill>
            <w14:solidFill>
              <w14:schemeClr w14:val="tx1"/>
            </w14:solidFill>
          </w14:textFill>
        </w:rPr>
        <w:t>项目建设必须严格执行环境保护</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三同时</w:t>
      </w: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制度</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须按规定程序实施竣工环境保护验收</w:t>
      </w:r>
      <w:r>
        <w:rPr>
          <w:rFonts w:hint="eastAsia" w:eastAsia="仿宋_GB2312"/>
          <w:color w:val="000000" w:themeColor="text1"/>
          <w:sz w:val="32"/>
          <w:szCs w:val="32"/>
          <w:highlight w:val="none"/>
          <w14:textFill>
            <w14:solidFill>
              <w14:schemeClr w14:val="tx1"/>
            </w14:solidFill>
          </w14:textFill>
        </w:rPr>
        <w:t>。</w:t>
      </w:r>
    </w:p>
    <w:p w14:paraId="6F595311">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六、</w:t>
      </w:r>
      <w:r>
        <w:rPr>
          <w:rFonts w:eastAsia="仿宋_GB2312"/>
          <w:color w:val="000000" w:themeColor="text1"/>
          <w:sz w:val="32"/>
          <w:szCs w:val="32"/>
          <w:highlight w:val="none"/>
          <w14:textFill>
            <w14:solidFill>
              <w14:schemeClr w14:val="tx1"/>
            </w14:solidFill>
          </w14:textFill>
        </w:rPr>
        <w:t>项目建设</w:t>
      </w:r>
      <w:r>
        <w:rPr>
          <w:rFonts w:hint="eastAsia" w:eastAsia="仿宋_GB2312"/>
          <w:color w:val="000000" w:themeColor="text1"/>
          <w:sz w:val="32"/>
          <w:szCs w:val="32"/>
          <w:highlight w:val="none"/>
          <w14:textFill>
            <w14:solidFill>
              <w14:schemeClr w14:val="tx1"/>
            </w14:solidFill>
          </w14:textFill>
        </w:rPr>
        <w:t>和运行</w:t>
      </w:r>
      <w:r>
        <w:rPr>
          <w:rFonts w:eastAsia="仿宋_GB2312"/>
          <w:color w:val="000000" w:themeColor="text1"/>
          <w:sz w:val="32"/>
          <w:szCs w:val="32"/>
          <w:highlight w:val="none"/>
          <w14:textFill>
            <w14:solidFill>
              <w14:schemeClr w14:val="tx1"/>
            </w14:solidFill>
          </w14:textFill>
        </w:rPr>
        <w:t>期间的环境监管由连云港市生态环境局高新区分局负责。</w:t>
      </w:r>
    </w:p>
    <w:p w14:paraId="003D72C2">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七</w:t>
      </w:r>
      <w:r>
        <w:rPr>
          <w:rFonts w:eastAsia="仿宋_GB2312"/>
          <w:color w:val="000000" w:themeColor="text1"/>
          <w:sz w:val="32"/>
          <w:szCs w:val="32"/>
          <w:highlight w:val="none"/>
          <w14:textFill>
            <w14:solidFill>
              <w14:schemeClr w14:val="tx1"/>
            </w14:solidFill>
          </w14:textFill>
        </w:rPr>
        <w:t>、项目的性质、规模、地点</w:t>
      </w:r>
      <w:r>
        <w:rPr>
          <w:rFonts w:hint="eastAsia" w:eastAsia="仿宋_GB2312"/>
          <w:color w:val="000000" w:themeColor="text1"/>
          <w:sz w:val="32"/>
          <w:szCs w:val="32"/>
          <w:highlight w:val="none"/>
          <w14:textFill>
            <w14:solidFill>
              <w14:schemeClr w14:val="tx1"/>
            </w14:solidFill>
          </w14:textFill>
        </w:rPr>
        <w:t>、采用的生产工艺</w:t>
      </w:r>
      <w:r>
        <w:rPr>
          <w:rFonts w:eastAsia="仿宋_GB2312"/>
          <w:color w:val="000000" w:themeColor="text1"/>
          <w:sz w:val="32"/>
          <w:szCs w:val="32"/>
          <w:highlight w:val="none"/>
          <w14:textFill>
            <w14:solidFill>
              <w14:schemeClr w14:val="tx1"/>
            </w14:solidFill>
          </w14:textFill>
        </w:rPr>
        <w:t>或者防治污染、防止生态破坏的措施发生重大变动的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应当重新报批项目的环境影响评价文件。项目自批准之日起超过五年方开工建设的</w:t>
      </w:r>
      <w:r>
        <w:rPr>
          <w:rFonts w:hint="eastAsia" w:eastAsia="仿宋_GB2312"/>
          <w:color w:val="000000" w:themeColor="text1"/>
          <w:sz w:val="32"/>
          <w:szCs w:val="32"/>
          <w:highlight w:val="none"/>
          <w:lang w:eastAsia="zh-CN"/>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环评文件须重新报审。</w:t>
      </w:r>
    </w:p>
    <w:p w14:paraId="323B7C3B">
      <w:pPr>
        <w:adjustRightInd w:val="0"/>
        <w:snapToGrid w:val="0"/>
        <w:spacing w:line="560" w:lineRule="exact"/>
        <w:ind w:firstLine="640" w:firstLineChars="200"/>
        <w:rPr>
          <w:rFonts w:eastAsia="仿宋_GB2312"/>
          <w:color w:val="000000" w:themeColor="text1"/>
          <w:sz w:val="32"/>
          <w:szCs w:val="32"/>
          <w:highlight w:val="yellow"/>
          <w14:textFill>
            <w14:solidFill>
              <w14:schemeClr w14:val="tx1"/>
            </w14:solidFill>
          </w14:textFill>
        </w:rPr>
      </w:pPr>
    </w:p>
    <w:p w14:paraId="58D98C19">
      <w:pPr>
        <w:adjustRightInd w:val="0"/>
        <w:snapToGrid w:val="0"/>
        <w:spacing w:line="560" w:lineRule="exact"/>
        <w:ind w:firstLine="640" w:firstLineChars="200"/>
        <w:rPr>
          <w:rFonts w:eastAsia="仿宋_GB2312"/>
          <w:color w:val="000000" w:themeColor="text1"/>
          <w:sz w:val="32"/>
          <w:szCs w:val="32"/>
          <w:highlight w:val="yellow"/>
          <w14:textFill>
            <w14:solidFill>
              <w14:schemeClr w14:val="tx1"/>
            </w14:solidFill>
          </w14:textFill>
        </w:rPr>
      </w:pPr>
    </w:p>
    <w:p w14:paraId="47BAF7B8">
      <w:pPr>
        <w:adjustRightInd w:val="0"/>
        <w:snapToGrid w:val="0"/>
        <w:spacing w:line="560" w:lineRule="exact"/>
        <w:ind w:firstLine="2720" w:firstLineChars="85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连云港高新技术产业开发区行政审批局</w:t>
      </w:r>
    </w:p>
    <w:p w14:paraId="726475C0">
      <w:pPr>
        <w:wordWrap w:val="0"/>
        <w:adjustRightInd w:val="0"/>
        <w:snapToGrid w:val="0"/>
        <w:spacing w:line="560" w:lineRule="exact"/>
        <w:ind w:firstLine="640" w:firstLineChars="200"/>
        <w:jc w:val="right"/>
        <w:rPr>
          <w:rFonts w:hint="default" w:eastAsia="仿宋_GB2312"/>
          <w:color w:val="000000" w:themeColor="text1"/>
          <w:sz w:val="32"/>
          <w:szCs w:val="32"/>
          <w:highlight w:val="none"/>
          <w:lang w:val="en-US" w:eastAsia="zh-CN"/>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202</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年</w:t>
      </w:r>
      <w:r>
        <w:rPr>
          <w:rFonts w:hint="eastAsia" w:eastAsia="仿宋_GB2312"/>
          <w:color w:val="000000" w:themeColor="text1"/>
          <w:sz w:val="32"/>
          <w:szCs w:val="32"/>
          <w:highlight w:val="none"/>
          <w:lang w:val="en-US" w:eastAsia="zh-CN"/>
          <w14:textFill>
            <w14:solidFill>
              <w14:schemeClr w14:val="tx1"/>
            </w14:solidFill>
          </w14:textFill>
        </w:rPr>
        <w:t>1</w:t>
      </w:r>
      <w:r>
        <w:rPr>
          <w:rFonts w:eastAsia="仿宋_GB2312"/>
          <w:color w:val="000000" w:themeColor="text1"/>
          <w:sz w:val="32"/>
          <w:szCs w:val="32"/>
          <w:highlight w:val="none"/>
          <w14:textFill>
            <w14:solidFill>
              <w14:schemeClr w14:val="tx1"/>
            </w14:solidFill>
          </w14:textFill>
        </w:rPr>
        <w:t>月</w:t>
      </w:r>
      <w:r>
        <w:rPr>
          <w:rFonts w:hint="eastAsia" w:eastAsia="仿宋_GB2312"/>
          <w:color w:val="000000" w:themeColor="text1"/>
          <w:sz w:val="32"/>
          <w:szCs w:val="32"/>
          <w:highlight w:val="none"/>
          <w:lang w:val="en-US" w:eastAsia="zh-CN"/>
          <w14:textFill>
            <w14:solidFill>
              <w14:schemeClr w14:val="tx1"/>
            </w14:solidFill>
          </w14:textFill>
        </w:rPr>
        <w:t>9</w:t>
      </w:r>
      <w:r>
        <w:rPr>
          <w:rFonts w:eastAsia="仿宋_GB2312"/>
          <w:color w:val="000000" w:themeColor="text1"/>
          <w:sz w:val="32"/>
          <w:szCs w:val="32"/>
          <w:highlight w:val="none"/>
          <w14:textFill>
            <w14:solidFill>
              <w14:schemeClr w14:val="tx1"/>
            </w14:solidFill>
          </w14:textFill>
        </w:rPr>
        <w:t>日</w:t>
      </w:r>
      <w:r>
        <w:rPr>
          <w:rFonts w:hint="eastAsia" w:eastAsia="仿宋_GB2312"/>
          <w:color w:val="000000" w:themeColor="text1"/>
          <w:sz w:val="32"/>
          <w:szCs w:val="32"/>
          <w:highlight w:val="none"/>
          <w:lang w:val="en-US" w:eastAsia="zh-CN"/>
          <w14:textFill>
            <w14:solidFill>
              <w14:schemeClr w14:val="tx1"/>
            </w14:solidFill>
          </w14:textFill>
        </w:rPr>
        <w:tab/>
      </w:r>
    </w:p>
    <w:p w14:paraId="28DF743C">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678BE906">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447D09CB">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7975B938">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10C363BA">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34A9E4CD">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0AEE30E0">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1741370D">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71163B81">
      <w:pPr>
        <w:wordWrap w:val="0"/>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76118A53">
      <w:pPr>
        <w:wordWrap/>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p>
    <w:p w14:paraId="115D4D2D">
      <w:pPr>
        <w:wordWrap/>
        <w:adjustRightInd w:val="0"/>
        <w:snapToGrid w:val="0"/>
        <w:spacing w:line="560" w:lineRule="exact"/>
        <w:ind w:firstLine="640" w:firstLineChars="200"/>
        <w:jc w:val="right"/>
        <w:rPr>
          <w:rFonts w:hint="eastAsia" w:eastAsia="仿宋_GB2312"/>
          <w:color w:val="000000" w:themeColor="text1"/>
          <w:sz w:val="32"/>
          <w:szCs w:val="32"/>
          <w:highlight w:val="none"/>
          <w:lang w:val="en-US" w:eastAsia="zh-CN"/>
          <w14:textFill>
            <w14:solidFill>
              <w14:schemeClr w14:val="tx1"/>
            </w14:solidFill>
          </w14:textFill>
        </w:rPr>
      </w:pPr>
      <w:bookmarkStart w:id="2" w:name="_GoBack"/>
      <w:bookmarkEnd w:id="2"/>
    </w:p>
    <w:p w14:paraId="1AFD1331">
      <w:pPr>
        <w:wordWrap w:val="0"/>
        <w:adjustRightInd w:val="0"/>
        <w:snapToGrid w:val="0"/>
        <w:spacing w:line="560" w:lineRule="exact"/>
        <w:ind w:firstLine="640" w:firstLineChars="200"/>
        <w:jc w:val="right"/>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r>
        <w:rPr>
          <w:rFonts w:hint="eastAsia" w:eastAsia="仿宋_GB2312"/>
          <w:color w:val="000000" w:themeColor="text1"/>
          <w:sz w:val="32"/>
          <w:szCs w:val="32"/>
          <w:highlight w:val="none"/>
          <w:lang w:val="en-US" w:eastAsia="zh-CN"/>
          <w14:textFill>
            <w14:solidFill>
              <w14:schemeClr w14:val="tx1"/>
            </w14:solidFill>
          </w14:textFill>
        </w:rPr>
        <w:tab/>
      </w:r>
    </w:p>
    <w:p w14:paraId="69CACB06">
      <w:pPr>
        <w:widowControl/>
        <w:adjustRightInd w:val="0"/>
        <w:snapToGrid w:val="0"/>
        <w:spacing w:line="560" w:lineRule="exact"/>
        <w:jc w:val="left"/>
        <w:rPr>
          <w:rFonts w:hint="eastAsia" w:eastAsia="仿宋_GB2312"/>
          <w:color w:val="000000" w:themeColor="text1"/>
          <w:sz w:val="32"/>
          <w:szCs w:val="32"/>
          <w:highlight w:val="none"/>
          <w:lang w:eastAsia="zh-CN"/>
          <w14:textFill>
            <w14:solidFill>
              <w14:schemeClr w14:val="tx1"/>
            </w14:solidFill>
          </w14:textFill>
        </w:rPr>
      </w:pPr>
      <w:r>
        <w:rPr>
          <w:rFonts w:eastAsia="仿宋_GB2312"/>
          <w:color w:val="000000" w:themeColor="text1"/>
          <w:spacing w:val="-20"/>
          <w:sz w:val="32"/>
          <w:szCs w:val="32"/>
          <w:highlight w:val="none"/>
          <w14:textFill>
            <w14:solidFill>
              <w14:schemeClr w14:val="tx1"/>
            </w14:solidFill>
          </w14:textFill>
        </w:rPr>
        <w:t>抄送：连云港市生态环境局高新区分局</w:t>
      </w:r>
      <w:r>
        <w:rPr>
          <w:rFonts w:hint="eastAsia" w:eastAsia="仿宋_GB2312"/>
          <w:color w:val="000000" w:themeColor="text1"/>
          <w:spacing w:val="-20"/>
          <w:sz w:val="32"/>
          <w:szCs w:val="32"/>
          <w:highlight w:val="none"/>
          <w:lang w:eastAsia="zh-CN"/>
          <w14:textFill>
            <w14:solidFill>
              <w14:schemeClr w14:val="tx1"/>
            </w14:solidFill>
          </w14:textFill>
        </w:rPr>
        <w:t>，江苏龙展环保科技有限公司</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IDFont+F1">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DCE9">
    <w:pPr>
      <w:pStyle w:val="6"/>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14:paraId="049A203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BF48">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14:paraId="550BC8E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1D76D"/>
    <w:multiLevelType w:val="singleLevel"/>
    <w:tmpl w:val="D3D1D7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zhhYjMxNzg4Nzg2N2JiODVkN2JiZTdhNGUyNTEifQ=="/>
  </w:docVars>
  <w:rsids>
    <w:rsidRoot w:val="00A33778"/>
    <w:rsid w:val="000059B3"/>
    <w:rsid w:val="00011597"/>
    <w:rsid w:val="00024404"/>
    <w:rsid w:val="00025971"/>
    <w:rsid w:val="00053016"/>
    <w:rsid w:val="00053BD9"/>
    <w:rsid w:val="00063BEE"/>
    <w:rsid w:val="00064CEA"/>
    <w:rsid w:val="00093DAE"/>
    <w:rsid w:val="000A4E84"/>
    <w:rsid w:val="000C2272"/>
    <w:rsid w:val="000C578E"/>
    <w:rsid w:val="000D5994"/>
    <w:rsid w:val="00100764"/>
    <w:rsid w:val="00101347"/>
    <w:rsid w:val="00104E77"/>
    <w:rsid w:val="00107B67"/>
    <w:rsid w:val="00123F43"/>
    <w:rsid w:val="00135FB3"/>
    <w:rsid w:val="0016210A"/>
    <w:rsid w:val="001660B3"/>
    <w:rsid w:val="0017326B"/>
    <w:rsid w:val="001777C6"/>
    <w:rsid w:val="001969C2"/>
    <w:rsid w:val="001A5080"/>
    <w:rsid w:val="001B3CA1"/>
    <w:rsid w:val="001C09A0"/>
    <w:rsid w:val="001C3C15"/>
    <w:rsid w:val="001D495D"/>
    <w:rsid w:val="001D4E75"/>
    <w:rsid w:val="001E0A52"/>
    <w:rsid w:val="001F0518"/>
    <w:rsid w:val="0021592F"/>
    <w:rsid w:val="00235633"/>
    <w:rsid w:val="00241825"/>
    <w:rsid w:val="00257185"/>
    <w:rsid w:val="0025762B"/>
    <w:rsid w:val="00260A29"/>
    <w:rsid w:val="00261377"/>
    <w:rsid w:val="00261868"/>
    <w:rsid w:val="00265830"/>
    <w:rsid w:val="00282A85"/>
    <w:rsid w:val="00290E82"/>
    <w:rsid w:val="002921D2"/>
    <w:rsid w:val="002962B7"/>
    <w:rsid w:val="002A12EE"/>
    <w:rsid w:val="002A305B"/>
    <w:rsid w:val="002B0374"/>
    <w:rsid w:val="002B7B42"/>
    <w:rsid w:val="002C1DD6"/>
    <w:rsid w:val="002C215D"/>
    <w:rsid w:val="002D59FE"/>
    <w:rsid w:val="002F2386"/>
    <w:rsid w:val="002F52C1"/>
    <w:rsid w:val="00307056"/>
    <w:rsid w:val="00317D8A"/>
    <w:rsid w:val="00326697"/>
    <w:rsid w:val="003368FE"/>
    <w:rsid w:val="00346599"/>
    <w:rsid w:val="00353552"/>
    <w:rsid w:val="0036127B"/>
    <w:rsid w:val="00362AAE"/>
    <w:rsid w:val="003638F2"/>
    <w:rsid w:val="003643FE"/>
    <w:rsid w:val="00367E1D"/>
    <w:rsid w:val="00370A26"/>
    <w:rsid w:val="00374855"/>
    <w:rsid w:val="00374CCA"/>
    <w:rsid w:val="003762C7"/>
    <w:rsid w:val="00381859"/>
    <w:rsid w:val="00395332"/>
    <w:rsid w:val="003A42C6"/>
    <w:rsid w:val="003B374D"/>
    <w:rsid w:val="003B6CB1"/>
    <w:rsid w:val="003C02D9"/>
    <w:rsid w:val="003D3681"/>
    <w:rsid w:val="003E3B7D"/>
    <w:rsid w:val="003F3575"/>
    <w:rsid w:val="00400B23"/>
    <w:rsid w:val="004027F2"/>
    <w:rsid w:val="0040331B"/>
    <w:rsid w:val="00405D67"/>
    <w:rsid w:val="004067A1"/>
    <w:rsid w:val="00407980"/>
    <w:rsid w:val="0041401B"/>
    <w:rsid w:val="0042713D"/>
    <w:rsid w:val="0043253D"/>
    <w:rsid w:val="004512EF"/>
    <w:rsid w:val="004639D4"/>
    <w:rsid w:val="00467A4C"/>
    <w:rsid w:val="00484C9A"/>
    <w:rsid w:val="004A2CE3"/>
    <w:rsid w:val="004A3D8B"/>
    <w:rsid w:val="004A5EF5"/>
    <w:rsid w:val="004B2573"/>
    <w:rsid w:val="004B4849"/>
    <w:rsid w:val="004B7C59"/>
    <w:rsid w:val="004C3DC8"/>
    <w:rsid w:val="004C426E"/>
    <w:rsid w:val="004C634C"/>
    <w:rsid w:val="004F79AA"/>
    <w:rsid w:val="00510EAF"/>
    <w:rsid w:val="00522A1F"/>
    <w:rsid w:val="00534A5E"/>
    <w:rsid w:val="0054249B"/>
    <w:rsid w:val="005432FD"/>
    <w:rsid w:val="00543541"/>
    <w:rsid w:val="0054508C"/>
    <w:rsid w:val="005472CC"/>
    <w:rsid w:val="005534FB"/>
    <w:rsid w:val="00556D6E"/>
    <w:rsid w:val="00556D9C"/>
    <w:rsid w:val="00562D41"/>
    <w:rsid w:val="00564609"/>
    <w:rsid w:val="00567E19"/>
    <w:rsid w:val="00571E37"/>
    <w:rsid w:val="00573300"/>
    <w:rsid w:val="00580144"/>
    <w:rsid w:val="00582329"/>
    <w:rsid w:val="0058444E"/>
    <w:rsid w:val="005976E9"/>
    <w:rsid w:val="00597F6E"/>
    <w:rsid w:val="005A206F"/>
    <w:rsid w:val="005A68E6"/>
    <w:rsid w:val="005B5556"/>
    <w:rsid w:val="005C708E"/>
    <w:rsid w:val="005C79FA"/>
    <w:rsid w:val="005D4278"/>
    <w:rsid w:val="005D577F"/>
    <w:rsid w:val="005D608E"/>
    <w:rsid w:val="005D75CE"/>
    <w:rsid w:val="005E3D4A"/>
    <w:rsid w:val="005E5075"/>
    <w:rsid w:val="005E7EE4"/>
    <w:rsid w:val="00600124"/>
    <w:rsid w:val="00600CB7"/>
    <w:rsid w:val="00600FF3"/>
    <w:rsid w:val="006124A7"/>
    <w:rsid w:val="00613B2D"/>
    <w:rsid w:val="00614D66"/>
    <w:rsid w:val="00615520"/>
    <w:rsid w:val="006203E0"/>
    <w:rsid w:val="0062558B"/>
    <w:rsid w:val="00626C16"/>
    <w:rsid w:val="006301DB"/>
    <w:rsid w:val="00633E6D"/>
    <w:rsid w:val="006433DC"/>
    <w:rsid w:val="00651D5A"/>
    <w:rsid w:val="006537A6"/>
    <w:rsid w:val="00667546"/>
    <w:rsid w:val="006724FF"/>
    <w:rsid w:val="0068144C"/>
    <w:rsid w:val="0068205A"/>
    <w:rsid w:val="006833FD"/>
    <w:rsid w:val="00683F0D"/>
    <w:rsid w:val="0069146E"/>
    <w:rsid w:val="00693BE2"/>
    <w:rsid w:val="006B0EBD"/>
    <w:rsid w:val="006B3023"/>
    <w:rsid w:val="006B618C"/>
    <w:rsid w:val="006C0A17"/>
    <w:rsid w:val="006C6A61"/>
    <w:rsid w:val="006D318A"/>
    <w:rsid w:val="006D77D9"/>
    <w:rsid w:val="006E2E1C"/>
    <w:rsid w:val="006F0110"/>
    <w:rsid w:val="006F2A51"/>
    <w:rsid w:val="006F2E67"/>
    <w:rsid w:val="0070153B"/>
    <w:rsid w:val="00701637"/>
    <w:rsid w:val="00706723"/>
    <w:rsid w:val="0071350A"/>
    <w:rsid w:val="00723A44"/>
    <w:rsid w:val="00760498"/>
    <w:rsid w:val="0077176D"/>
    <w:rsid w:val="00777168"/>
    <w:rsid w:val="00783DDD"/>
    <w:rsid w:val="007927CE"/>
    <w:rsid w:val="0079391A"/>
    <w:rsid w:val="00793CFE"/>
    <w:rsid w:val="007A266D"/>
    <w:rsid w:val="007A399B"/>
    <w:rsid w:val="007C06F7"/>
    <w:rsid w:val="007C1BC7"/>
    <w:rsid w:val="007C565A"/>
    <w:rsid w:val="007D085C"/>
    <w:rsid w:val="007E0DCB"/>
    <w:rsid w:val="007E1360"/>
    <w:rsid w:val="007E733A"/>
    <w:rsid w:val="007F4E71"/>
    <w:rsid w:val="007F61FE"/>
    <w:rsid w:val="00811136"/>
    <w:rsid w:val="0081690F"/>
    <w:rsid w:val="008201FA"/>
    <w:rsid w:val="0082660A"/>
    <w:rsid w:val="00833F05"/>
    <w:rsid w:val="008540EA"/>
    <w:rsid w:val="00862485"/>
    <w:rsid w:val="00863CBE"/>
    <w:rsid w:val="0086596E"/>
    <w:rsid w:val="008820E1"/>
    <w:rsid w:val="00883310"/>
    <w:rsid w:val="0088750A"/>
    <w:rsid w:val="008A0C9D"/>
    <w:rsid w:val="008A7C6E"/>
    <w:rsid w:val="008C16B9"/>
    <w:rsid w:val="008C38AA"/>
    <w:rsid w:val="008C5AE4"/>
    <w:rsid w:val="008C62CF"/>
    <w:rsid w:val="008D1948"/>
    <w:rsid w:val="008E64E4"/>
    <w:rsid w:val="00901626"/>
    <w:rsid w:val="00920F4F"/>
    <w:rsid w:val="00926B65"/>
    <w:rsid w:val="0093382E"/>
    <w:rsid w:val="0093420B"/>
    <w:rsid w:val="00940A92"/>
    <w:rsid w:val="00946B79"/>
    <w:rsid w:val="00970CD7"/>
    <w:rsid w:val="00972A65"/>
    <w:rsid w:val="009849DD"/>
    <w:rsid w:val="009939C6"/>
    <w:rsid w:val="00993BEE"/>
    <w:rsid w:val="009946BA"/>
    <w:rsid w:val="00994F6F"/>
    <w:rsid w:val="009A3662"/>
    <w:rsid w:val="009B2D48"/>
    <w:rsid w:val="009B5571"/>
    <w:rsid w:val="009C4E8D"/>
    <w:rsid w:val="009D1977"/>
    <w:rsid w:val="009F7FF0"/>
    <w:rsid w:val="00A07623"/>
    <w:rsid w:val="00A16446"/>
    <w:rsid w:val="00A17A7E"/>
    <w:rsid w:val="00A17D88"/>
    <w:rsid w:val="00A3090E"/>
    <w:rsid w:val="00A33778"/>
    <w:rsid w:val="00A421D0"/>
    <w:rsid w:val="00A42B77"/>
    <w:rsid w:val="00A50CBE"/>
    <w:rsid w:val="00A531E2"/>
    <w:rsid w:val="00A56529"/>
    <w:rsid w:val="00A6111D"/>
    <w:rsid w:val="00A61F6F"/>
    <w:rsid w:val="00A65B48"/>
    <w:rsid w:val="00A73025"/>
    <w:rsid w:val="00A93F02"/>
    <w:rsid w:val="00AA2532"/>
    <w:rsid w:val="00AB53A1"/>
    <w:rsid w:val="00AC429E"/>
    <w:rsid w:val="00AC4B54"/>
    <w:rsid w:val="00AD51BC"/>
    <w:rsid w:val="00AD716F"/>
    <w:rsid w:val="00AF5797"/>
    <w:rsid w:val="00AF5AC2"/>
    <w:rsid w:val="00B045D2"/>
    <w:rsid w:val="00B10318"/>
    <w:rsid w:val="00B123E3"/>
    <w:rsid w:val="00B30404"/>
    <w:rsid w:val="00B32FAC"/>
    <w:rsid w:val="00B400FA"/>
    <w:rsid w:val="00B42752"/>
    <w:rsid w:val="00B45B89"/>
    <w:rsid w:val="00B579FB"/>
    <w:rsid w:val="00B660D9"/>
    <w:rsid w:val="00B669CD"/>
    <w:rsid w:val="00B71512"/>
    <w:rsid w:val="00B7468C"/>
    <w:rsid w:val="00B876BD"/>
    <w:rsid w:val="00BB2551"/>
    <w:rsid w:val="00BB2E4A"/>
    <w:rsid w:val="00BC02DA"/>
    <w:rsid w:val="00BC226E"/>
    <w:rsid w:val="00BC26B6"/>
    <w:rsid w:val="00BC287A"/>
    <w:rsid w:val="00BC2BF3"/>
    <w:rsid w:val="00BD3991"/>
    <w:rsid w:val="00BD5126"/>
    <w:rsid w:val="00BE1663"/>
    <w:rsid w:val="00BE2C25"/>
    <w:rsid w:val="00BE7C89"/>
    <w:rsid w:val="00BF647C"/>
    <w:rsid w:val="00C11AD3"/>
    <w:rsid w:val="00C12A2C"/>
    <w:rsid w:val="00C131C7"/>
    <w:rsid w:val="00C347BB"/>
    <w:rsid w:val="00C41102"/>
    <w:rsid w:val="00C420E3"/>
    <w:rsid w:val="00C511BD"/>
    <w:rsid w:val="00C51C9E"/>
    <w:rsid w:val="00C55301"/>
    <w:rsid w:val="00C61C17"/>
    <w:rsid w:val="00C66A97"/>
    <w:rsid w:val="00C732AD"/>
    <w:rsid w:val="00C8219B"/>
    <w:rsid w:val="00C82A70"/>
    <w:rsid w:val="00C9008A"/>
    <w:rsid w:val="00C906A1"/>
    <w:rsid w:val="00CB4645"/>
    <w:rsid w:val="00CB61D3"/>
    <w:rsid w:val="00CC57D3"/>
    <w:rsid w:val="00CE46DF"/>
    <w:rsid w:val="00CF460E"/>
    <w:rsid w:val="00CF7050"/>
    <w:rsid w:val="00D042F1"/>
    <w:rsid w:val="00D213FC"/>
    <w:rsid w:val="00D223F7"/>
    <w:rsid w:val="00D22A50"/>
    <w:rsid w:val="00D22F21"/>
    <w:rsid w:val="00D23755"/>
    <w:rsid w:val="00D23E11"/>
    <w:rsid w:val="00D33DD0"/>
    <w:rsid w:val="00D3713D"/>
    <w:rsid w:val="00D40D33"/>
    <w:rsid w:val="00D42CBA"/>
    <w:rsid w:val="00D44424"/>
    <w:rsid w:val="00D46BD1"/>
    <w:rsid w:val="00D53955"/>
    <w:rsid w:val="00D53E9E"/>
    <w:rsid w:val="00D570CE"/>
    <w:rsid w:val="00D62AD7"/>
    <w:rsid w:val="00D67148"/>
    <w:rsid w:val="00D719D0"/>
    <w:rsid w:val="00D905DB"/>
    <w:rsid w:val="00D90B5D"/>
    <w:rsid w:val="00D91A79"/>
    <w:rsid w:val="00D9560D"/>
    <w:rsid w:val="00D97678"/>
    <w:rsid w:val="00DA1275"/>
    <w:rsid w:val="00DA44F5"/>
    <w:rsid w:val="00DC13E3"/>
    <w:rsid w:val="00DC7E29"/>
    <w:rsid w:val="00DD2A5E"/>
    <w:rsid w:val="00DD65F2"/>
    <w:rsid w:val="00DE39E3"/>
    <w:rsid w:val="00DF0747"/>
    <w:rsid w:val="00DF22F5"/>
    <w:rsid w:val="00DF2F35"/>
    <w:rsid w:val="00E1320E"/>
    <w:rsid w:val="00E33956"/>
    <w:rsid w:val="00E34EF0"/>
    <w:rsid w:val="00E3528B"/>
    <w:rsid w:val="00E37556"/>
    <w:rsid w:val="00E42D87"/>
    <w:rsid w:val="00E45575"/>
    <w:rsid w:val="00E47122"/>
    <w:rsid w:val="00E547F0"/>
    <w:rsid w:val="00E604A5"/>
    <w:rsid w:val="00E6260D"/>
    <w:rsid w:val="00E711B1"/>
    <w:rsid w:val="00E73446"/>
    <w:rsid w:val="00E73E7D"/>
    <w:rsid w:val="00E76881"/>
    <w:rsid w:val="00E91BFB"/>
    <w:rsid w:val="00EA0963"/>
    <w:rsid w:val="00EB0964"/>
    <w:rsid w:val="00EB1656"/>
    <w:rsid w:val="00EC04C8"/>
    <w:rsid w:val="00EC6178"/>
    <w:rsid w:val="00EC6B70"/>
    <w:rsid w:val="00ED5BDE"/>
    <w:rsid w:val="00F006B9"/>
    <w:rsid w:val="00F13008"/>
    <w:rsid w:val="00F1496D"/>
    <w:rsid w:val="00F2496E"/>
    <w:rsid w:val="00F355C7"/>
    <w:rsid w:val="00F436AA"/>
    <w:rsid w:val="00F5489B"/>
    <w:rsid w:val="00F6416E"/>
    <w:rsid w:val="00F667ED"/>
    <w:rsid w:val="00F9009F"/>
    <w:rsid w:val="00F90845"/>
    <w:rsid w:val="00F9330E"/>
    <w:rsid w:val="00FA07B3"/>
    <w:rsid w:val="00FA3C8F"/>
    <w:rsid w:val="00FA43AC"/>
    <w:rsid w:val="00FA6748"/>
    <w:rsid w:val="00FB14AF"/>
    <w:rsid w:val="00FB62B1"/>
    <w:rsid w:val="00FB731F"/>
    <w:rsid w:val="00FD0226"/>
    <w:rsid w:val="00FD308A"/>
    <w:rsid w:val="00FD66A5"/>
    <w:rsid w:val="00FE57C3"/>
    <w:rsid w:val="00FE628A"/>
    <w:rsid w:val="00FE753E"/>
    <w:rsid w:val="00FF5E04"/>
    <w:rsid w:val="00FF6740"/>
    <w:rsid w:val="02427F54"/>
    <w:rsid w:val="02714395"/>
    <w:rsid w:val="02BD2A70"/>
    <w:rsid w:val="02CC3BF2"/>
    <w:rsid w:val="02DD1A2B"/>
    <w:rsid w:val="02E35293"/>
    <w:rsid w:val="03CC0C05"/>
    <w:rsid w:val="04934A97"/>
    <w:rsid w:val="057228FE"/>
    <w:rsid w:val="05792019"/>
    <w:rsid w:val="05BB035D"/>
    <w:rsid w:val="06260797"/>
    <w:rsid w:val="07107E0D"/>
    <w:rsid w:val="07C92B50"/>
    <w:rsid w:val="07D75D82"/>
    <w:rsid w:val="07F669DC"/>
    <w:rsid w:val="082C3E90"/>
    <w:rsid w:val="09183FFC"/>
    <w:rsid w:val="09293C1C"/>
    <w:rsid w:val="09DA6CC4"/>
    <w:rsid w:val="09E85132"/>
    <w:rsid w:val="0A171C4C"/>
    <w:rsid w:val="0B213C5F"/>
    <w:rsid w:val="0BA92DF2"/>
    <w:rsid w:val="0C22507E"/>
    <w:rsid w:val="0CD475BA"/>
    <w:rsid w:val="0D34281B"/>
    <w:rsid w:val="0D817B82"/>
    <w:rsid w:val="0ED604C7"/>
    <w:rsid w:val="0F7A7A09"/>
    <w:rsid w:val="0FDF5034"/>
    <w:rsid w:val="106C731A"/>
    <w:rsid w:val="113B2D40"/>
    <w:rsid w:val="1160057C"/>
    <w:rsid w:val="119B4F8B"/>
    <w:rsid w:val="12626EF1"/>
    <w:rsid w:val="12B33874"/>
    <w:rsid w:val="12FA4492"/>
    <w:rsid w:val="136450E5"/>
    <w:rsid w:val="136A730B"/>
    <w:rsid w:val="13CE7899"/>
    <w:rsid w:val="141334FE"/>
    <w:rsid w:val="14312867"/>
    <w:rsid w:val="15C3133C"/>
    <w:rsid w:val="1678022A"/>
    <w:rsid w:val="168E3162"/>
    <w:rsid w:val="16B910A6"/>
    <w:rsid w:val="16D14840"/>
    <w:rsid w:val="17F32726"/>
    <w:rsid w:val="18A8725F"/>
    <w:rsid w:val="18B03A11"/>
    <w:rsid w:val="18F7519C"/>
    <w:rsid w:val="1A051B3B"/>
    <w:rsid w:val="1A9133CF"/>
    <w:rsid w:val="1AA166D6"/>
    <w:rsid w:val="1AEB31F7"/>
    <w:rsid w:val="1AFF2A2E"/>
    <w:rsid w:val="1B226512"/>
    <w:rsid w:val="1B737A55"/>
    <w:rsid w:val="1B7F7052"/>
    <w:rsid w:val="1B934AB5"/>
    <w:rsid w:val="1BC31046"/>
    <w:rsid w:val="1D0460DA"/>
    <w:rsid w:val="1D2301F8"/>
    <w:rsid w:val="1D541B93"/>
    <w:rsid w:val="1D5A3F4C"/>
    <w:rsid w:val="1D8611E5"/>
    <w:rsid w:val="1DB44F31"/>
    <w:rsid w:val="1E78648F"/>
    <w:rsid w:val="1EBC3B3D"/>
    <w:rsid w:val="1F047DC4"/>
    <w:rsid w:val="1F270046"/>
    <w:rsid w:val="1F2779A5"/>
    <w:rsid w:val="1F470500"/>
    <w:rsid w:val="1F5617BC"/>
    <w:rsid w:val="1F611967"/>
    <w:rsid w:val="1F982448"/>
    <w:rsid w:val="206B3164"/>
    <w:rsid w:val="20913F51"/>
    <w:rsid w:val="20BF0C96"/>
    <w:rsid w:val="20CF6B85"/>
    <w:rsid w:val="21920880"/>
    <w:rsid w:val="219422DC"/>
    <w:rsid w:val="21FF14A3"/>
    <w:rsid w:val="22205764"/>
    <w:rsid w:val="23022C86"/>
    <w:rsid w:val="23733FB9"/>
    <w:rsid w:val="23A518B2"/>
    <w:rsid w:val="23EF5E28"/>
    <w:rsid w:val="24204E9C"/>
    <w:rsid w:val="24977834"/>
    <w:rsid w:val="25537BFE"/>
    <w:rsid w:val="26303910"/>
    <w:rsid w:val="263F0183"/>
    <w:rsid w:val="266F6CBA"/>
    <w:rsid w:val="27096DA5"/>
    <w:rsid w:val="27222275"/>
    <w:rsid w:val="275B283A"/>
    <w:rsid w:val="27702CEA"/>
    <w:rsid w:val="278E0E5A"/>
    <w:rsid w:val="27CD0233"/>
    <w:rsid w:val="283830DC"/>
    <w:rsid w:val="284E5E91"/>
    <w:rsid w:val="28AD5878"/>
    <w:rsid w:val="28C57065"/>
    <w:rsid w:val="28C770F6"/>
    <w:rsid w:val="28CD5F1A"/>
    <w:rsid w:val="28EB1F84"/>
    <w:rsid w:val="28F5606D"/>
    <w:rsid w:val="2A1100C6"/>
    <w:rsid w:val="2A407808"/>
    <w:rsid w:val="2AB71D51"/>
    <w:rsid w:val="2AC11AAE"/>
    <w:rsid w:val="2ADE7F6A"/>
    <w:rsid w:val="2B45743A"/>
    <w:rsid w:val="2C26606D"/>
    <w:rsid w:val="2C8E1915"/>
    <w:rsid w:val="2E271C28"/>
    <w:rsid w:val="2E3E22B3"/>
    <w:rsid w:val="2F124686"/>
    <w:rsid w:val="2F685A57"/>
    <w:rsid w:val="2F6B1FE9"/>
    <w:rsid w:val="30C154B5"/>
    <w:rsid w:val="30E028E1"/>
    <w:rsid w:val="317E4062"/>
    <w:rsid w:val="31BE01A6"/>
    <w:rsid w:val="35784CBC"/>
    <w:rsid w:val="35D02BA5"/>
    <w:rsid w:val="35E054DE"/>
    <w:rsid w:val="35EF1C9A"/>
    <w:rsid w:val="35F52289"/>
    <w:rsid w:val="3608731A"/>
    <w:rsid w:val="36421CF5"/>
    <w:rsid w:val="36637EBD"/>
    <w:rsid w:val="36913DF4"/>
    <w:rsid w:val="36C02C1A"/>
    <w:rsid w:val="36D27D8D"/>
    <w:rsid w:val="36DF1167"/>
    <w:rsid w:val="36E27034"/>
    <w:rsid w:val="38096119"/>
    <w:rsid w:val="382F1DCE"/>
    <w:rsid w:val="383E3BD1"/>
    <w:rsid w:val="38DE012E"/>
    <w:rsid w:val="39157076"/>
    <w:rsid w:val="3929719C"/>
    <w:rsid w:val="3A742699"/>
    <w:rsid w:val="3A8D6C4A"/>
    <w:rsid w:val="3ACB0D0D"/>
    <w:rsid w:val="3B170421"/>
    <w:rsid w:val="3B4B24FC"/>
    <w:rsid w:val="3BB06EA2"/>
    <w:rsid w:val="3C21415B"/>
    <w:rsid w:val="3CB7243C"/>
    <w:rsid w:val="3DDC56F4"/>
    <w:rsid w:val="3DDE45B1"/>
    <w:rsid w:val="3DFC7262"/>
    <w:rsid w:val="3E1C3502"/>
    <w:rsid w:val="3E88487C"/>
    <w:rsid w:val="3E9E4FF9"/>
    <w:rsid w:val="3EE80F60"/>
    <w:rsid w:val="3F203ED9"/>
    <w:rsid w:val="3F6A6C05"/>
    <w:rsid w:val="3FD9166E"/>
    <w:rsid w:val="402045AD"/>
    <w:rsid w:val="403C7A85"/>
    <w:rsid w:val="41D80D76"/>
    <w:rsid w:val="41DE690D"/>
    <w:rsid w:val="4223468F"/>
    <w:rsid w:val="425F1A84"/>
    <w:rsid w:val="42E06D32"/>
    <w:rsid w:val="43002781"/>
    <w:rsid w:val="43386225"/>
    <w:rsid w:val="43394E3A"/>
    <w:rsid w:val="450F618C"/>
    <w:rsid w:val="453673AB"/>
    <w:rsid w:val="461F5BAF"/>
    <w:rsid w:val="468477C0"/>
    <w:rsid w:val="46BD7176"/>
    <w:rsid w:val="46C706EC"/>
    <w:rsid w:val="470D6864"/>
    <w:rsid w:val="472E597E"/>
    <w:rsid w:val="483376F0"/>
    <w:rsid w:val="488E4C9D"/>
    <w:rsid w:val="489E65E7"/>
    <w:rsid w:val="48E704DA"/>
    <w:rsid w:val="491E3B82"/>
    <w:rsid w:val="49396F88"/>
    <w:rsid w:val="49521DF7"/>
    <w:rsid w:val="49BD45E1"/>
    <w:rsid w:val="49BE5A77"/>
    <w:rsid w:val="4A0E4826"/>
    <w:rsid w:val="4A9B19DD"/>
    <w:rsid w:val="4B744305"/>
    <w:rsid w:val="4C043151"/>
    <w:rsid w:val="4C9B3C21"/>
    <w:rsid w:val="4CE11DC3"/>
    <w:rsid w:val="4D38012C"/>
    <w:rsid w:val="4D6D6D62"/>
    <w:rsid w:val="4D852E94"/>
    <w:rsid w:val="4D8C33FE"/>
    <w:rsid w:val="4DCB6336"/>
    <w:rsid w:val="4DCC5629"/>
    <w:rsid w:val="4DF30558"/>
    <w:rsid w:val="4DFA2A19"/>
    <w:rsid w:val="4E12358D"/>
    <w:rsid w:val="4E192EE4"/>
    <w:rsid w:val="4E26494C"/>
    <w:rsid w:val="4EE47996"/>
    <w:rsid w:val="4EF16DED"/>
    <w:rsid w:val="4F48561C"/>
    <w:rsid w:val="4F6B3034"/>
    <w:rsid w:val="4FA7250F"/>
    <w:rsid w:val="4FC84E27"/>
    <w:rsid w:val="507704E4"/>
    <w:rsid w:val="508825A3"/>
    <w:rsid w:val="509727E6"/>
    <w:rsid w:val="50B94D10"/>
    <w:rsid w:val="51023978"/>
    <w:rsid w:val="51565B12"/>
    <w:rsid w:val="5184720E"/>
    <w:rsid w:val="519503D4"/>
    <w:rsid w:val="51A84C41"/>
    <w:rsid w:val="51CD4504"/>
    <w:rsid w:val="52035925"/>
    <w:rsid w:val="524C3BDA"/>
    <w:rsid w:val="52A42D7D"/>
    <w:rsid w:val="53670B95"/>
    <w:rsid w:val="55DA1B48"/>
    <w:rsid w:val="560F4542"/>
    <w:rsid w:val="56882F23"/>
    <w:rsid w:val="56CD1D6A"/>
    <w:rsid w:val="57266671"/>
    <w:rsid w:val="57BD6FD6"/>
    <w:rsid w:val="584B0697"/>
    <w:rsid w:val="5A516701"/>
    <w:rsid w:val="5B421396"/>
    <w:rsid w:val="5B5A4B95"/>
    <w:rsid w:val="5BC42CC1"/>
    <w:rsid w:val="5BC87CF7"/>
    <w:rsid w:val="5BCE2AF0"/>
    <w:rsid w:val="5CF90D64"/>
    <w:rsid w:val="5D20477F"/>
    <w:rsid w:val="5D652D23"/>
    <w:rsid w:val="5D6879E4"/>
    <w:rsid w:val="5D883BE2"/>
    <w:rsid w:val="5D8C60F9"/>
    <w:rsid w:val="5D9D62D5"/>
    <w:rsid w:val="5DA36927"/>
    <w:rsid w:val="5DC32E6C"/>
    <w:rsid w:val="5E9D7B9B"/>
    <w:rsid w:val="5EB160D1"/>
    <w:rsid w:val="5FBF1264"/>
    <w:rsid w:val="5FDB5661"/>
    <w:rsid w:val="6094062F"/>
    <w:rsid w:val="614705E1"/>
    <w:rsid w:val="61E94B7F"/>
    <w:rsid w:val="624F23FA"/>
    <w:rsid w:val="625E2039"/>
    <w:rsid w:val="629372B1"/>
    <w:rsid w:val="6295012C"/>
    <w:rsid w:val="648275DD"/>
    <w:rsid w:val="651925F1"/>
    <w:rsid w:val="655E14F4"/>
    <w:rsid w:val="657C7D98"/>
    <w:rsid w:val="65863A08"/>
    <w:rsid w:val="662B03CC"/>
    <w:rsid w:val="66772075"/>
    <w:rsid w:val="66863951"/>
    <w:rsid w:val="67591C5B"/>
    <w:rsid w:val="675C1401"/>
    <w:rsid w:val="67F80D9E"/>
    <w:rsid w:val="68293EC4"/>
    <w:rsid w:val="68716FB6"/>
    <w:rsid w:val="68956952"/>
    <w:rsid w:val="68B42C2B"/>
    <w:rsid w:val="68CB0E27"/>
    <w:rsid w:val="69074555"/>
    <w:rsid w:val="69D177F8"/>
    <w:rsid w:val="69D34437"/>
    <w:rsid w:val="6ACF1D7C"/>
    <w:rsid w:val="6ADC731B"/>
    <w:rsid w:val="6B4D1FC7"/>
    <w:rsid w:val="6C4B643E"/>
    <w:rsid w:val="6C960BD5"/>
    <w:rsid w:val="6C9A56E0"/>
    <w:rsid w:val="6D1B5B49"/>
    <w:rsid w:val="6D1C60F5"/>
    <w:rsid w:val="6D774AC9"/>
    <w:rsid w:val="6DF4331A"/>
    <w:rsid w:val="6E2039C3"/>
    <w:rsid w:val="6E9D32B2"/>
    <w:rsid w:val="6EBD1212"/>
    <w:rsid w:val="6FD17CFF"/>
    <w:rsid w:val="70291255"/>
    <w:rsid w:val="70FF55AB"/>
    <w:rsid w:val="716B13F9"/>
    <w:rsid w:val="71A130D0"/>
    <w:rsid w:val="71B42B40"/>
    <w:rsid w:val="71CF5657"/>
    <w:rsid w:val="7238787C"/>
    <w:rsid w:val="739C1D3D"/>
    <w:rsid w:val="746C0790"/>
    <w:rsid w:val="748D503C"/>
    <w:rsid w:val="749B318A"/>
    <w:rsid w:val="74A138CF"/>
    <w:rsid w:val="74F02341"/>
    <w:rsid w:val="75671CEE"/>
    <w:rsid w:val="765D692A"/>
    <w:rsid w:val="769C2B02"/>
    <w:rsid w:val="76AD475B"/>
    <w:rsid w:val="76EE40D5"/>
    <w:rsid w:val="772B7FA1"/>
    <w:rsid w:val="775A3E3A"/>
    <w:rsid w:val="77A56C97"/>
    <w:rsid w:val="77EB5C21"/>
    <w:rsid w:val="789E7942"/>
    <w:rsid w:val="78AB6682"/>
    <w:rsid w:val="791903FB"/>
    <w:rsid w:val="7988018F"/>
    <w:rsid w:val="79B31CB8"/>
    <w:rsid w:val="7A122D59"/>
    <w:rsid w:val="7A1A3ADE"/>
    <w:rsid w:val="7B7D2454"/>
    <w:rsid w:val="7B9003DA"/>
    <w:rsid w:val="7BCC7EFC"/>
    <w:rsid w:val="7C2733A5"/>
    <w:rsid w:val="7C76312F"/>
    <w:rsid w:val="7D2D4D93"/>
    <w:rsid w:val="7D307DB8"/>
    <w:rsid w:val="7D513331"/>
    <w:rsid w:val="7DA13DC0"/>
    <w:rsid w:val="7E3B222A"/>
    <w:rsid w:val="7E904EA3"/>
    <w:rsid w:val="7ECF3FCA"/>
    <w:rsid w:val="7EE06114"/>
    <w:rsid w:val="7EFC0806"/>
    <w:rsid w:val="7FA018E5"/>
    <w:rsid w:val="7FB448BB"/>
    <w:rsid w:val="7FBE01F5"/>
    <w:rsid w:val="7FD8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4"/>
    <w:qFormat/>
    <w:uiPriority w:val="0"/>
    <w:pPr>
      <w:ind w:left="100" w:leftChars="2500"/>
    </w:pPr>
  </w:style>
  <w:style w:type="paragraph" w:styleId="4">
    <w:name w:val="Body Text Indent 2"/>
    <w:basedOn w:val="1"/>
    <w:unhideWhenUsed/>
    <w:qFormat/>
    <w:uiPriority w:val="99"/>
    <w:pPr>
      <w:spacing w:after="120" w:line="480" w:lineRule="auto"/>
      <w:ind w:left="420" w:leftChars="200"/>
    </w:pPr>
  </w:style>
  <w:style w:type="paragraph" w:styleId="5">
    <w:name w:val="Balloon Text"/>
    <w:basedOn w:val="1"/>
    <w:link w:val="15"/>
    <w:qFormat/>
    <w:uiPriority w:val="0"/>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1"/>
    <w:unhideWhenUsed/>
    <w:qFormat/>
    <w:uiPriority w:val="99"/>
    <w:pPr>
      <w:pBdr>
        <w:top w:val="double" w:color="auto" w:sz="6" w:space="0"/>
        <w:left w:val="double" w:color="auto" w:sz="6" w:space="0"/>
        <w:bottom w:val="double" w:color="auto" w:sz="6" w:space="0"/>
        <w:right w:val="double" w:color="auto" w:sz="6" w:space="0"/>
      </w:pBdr>
      <w:spacing w:before="240" w:after="120"/>
      <w:jc w:val="center"/>
    </w:pPr>
    <w:rPr>
      <w:rFonts w:ascii="Arial" w:hAnsi="Arial" w:cs="Arial"/>
      <w:b/>
      <w:bCs/>
      <w:spacing w:val="-8"/>
      <w:sz w:val="22"/>
      <w:szCs w:val="2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日期 Char"/>
    <w:link w:val="3"/>
    <w:qFormat/>
    <w:uiPriority w:val="0"/>
    <w:rPr>
      <w:kern w:val="2"/>
      <w:sz w:val="21"/>
      <w:szCs w:val="24"/>
    </w:rPr>
  </w:style>
  <w:style w:type="character" w:customStyle="1" w:styleId="15">
    <w:name w:val="批注框文本 Char"/>
    <w:link w:val="5"/>
    <w:qFormat/>
    <w:uiPriority w:val="0"/>
    <w:rPr>
      <w:kern w:val="2"/>
      <w:sz w:val="18"/>
      <w:szCs w:val="18"/>
    </w:rPr>
  </w:style>
  <w:style w:type="character" w:customStyle="1" w:styleId="16">
    <w:name w:val="页脚 Char"/>
    <w:link w:val="6"/>
    <w:qFormat/>
    <w:uiPriority w:val="99"/>
    <w:rPr>
      <w:kern w:val="2"/>
      <w:sz w:val="18"/>
      <w:szCs w:val="18"/>
    </w:rPr>
  </w:style>
  <w:style w:type="character" w:customStyle="1" w:styleId="17">
    <w:name w:val="页眉 Char"/>
    <w:link w:val="7"/>
    <w:qFormat/>
    <w:uiPriority w:val="0"/>
    <w:rPr>
      <w:kern w:val="2"/>
      <w:sz w:val="18"/>
      <w:szCs w:val="18"/>
    </w:rPr>
  </w:style>
  <w:style w:type="paragraph" w:customStyle="1" w:styleId="18">
    <w:name w:val="新格式表"/>
    <w:basedOn w:val="1"/>
    <w:qFormat/>
    <w:uiPriority w:val="0"/>
    <w:pPr>
      <w:adjustRightInd w:val="0"/>
      <w:snapToGrid w:val="0"/>
      <w:spacing w:line="0" w:lineRule="atLeast"/>
      <w:jc w:val="center"/>
    </w:pPr>
    <w:rPr>
      <w:color w:val="000000"/>
      <w:kern w:val="0"/>
      <w:szCs w:val="21"/>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qFormat/>
    <w:uiPriority w:val="34"/>
    <w:pPr>
      <w:ind w:firstLine="420" w:firstLineChars="200"/>
    </w:pPr>
  </w:style>
  <w:style w:type="paragraph" w:customStyle="1" w:styleId="21">
    <w:name w:val="样式2"/>
    <w:basedOn w:val="1"/>
    <w:qFormat/>
    <w:uiPriority w:val="0"/>
    <w:pPr>
      <w:tabs>
        <w:tab w:val="left" w:pos="7680"/>
      </w:tabs>
      <w:adjustRightInd w:val="0"/>
      <w:spacing w:line="360" w:lineRule="atLeast"/>
      <w:ind w:firstLine="640" w:firstLineChars="200"/>
      <w:textAlignment w:val="baseline"/>
    </w:pPr>
    <w:rPr>
      <w:rFonts w:ascii="仿宋" w:hAnsi="仿宋" w:eastAsia="仿宋_GB2312"/>
      <w:bCs/>
      <w:sz w:val="32"/>
      <w:szCs w:val="32"/>
    </w:rPr>
  </w:style>
  <w:style w:type="character" w:customStyle="1" w:styleId="22">
    <w:name w:val="fontstyle21"/>
    <w:qFormat/>
    <w:uiPriority w:val="0"/>
    <w:rPr>
      <w:rFonts w:hint="default" w:ascii="CIDFont+F1" w:hAnsi="CIDFont+F1"/>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2518</Words>
  <Characters>3015</Characters>
  <Lines>16</Lines>
  <Paragraphs>4</Paragraphs>
  <TotalTime>9</TotalTime>
  <ScaleCrop>false</ScaleCrop>
  <LinksUpToDate>false</LinksUpToDate>
  <CharactersWithSpaces>3020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2017-07-14T03:44:00Z</dcterms:created>
  <dc:creator>User</dc:creator>
  <cp:lastModifiedBy>个栗</cp:lastModifiedBy>
  <cp:lastPrinted>2025-03-14T07:25:00Z</cp:lastPrinted>
  <dcterms:modified xsi:type="dcterms:W3CDTF">2026-01-09T07:49:27Z</dcterms:modified>
  <dc:title>连云港高新区技术产业开发区党工委</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25ECC43763EC4FE490B8C51305C223C0_13</vt:lpwstr>
  </property>
  <property fmtid="{D5CDD505-2E9C-101B-9397-08002B2CF9AE}" pid="4" name="KSOTemplateDocerSaveRecord">
    <vt:lpwstr>eyJoZGlkIjoiNmNkNTY1NzE0N2VhOTMyN2UxYTgzNDBlYzQ3ZDg0YTAiLCJ1c2VySWQiOiIyMTc3Njg1NzgifQ==</vt:lpwstr>
  </property>
</Properties>
</file>