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033C13">
      <w:pPr>
        <w:pStyle w:val="20"/>
        <w:keepNext w:val="0"/>
        <w:keepLines w:val="0"/>
        <w:pageBreakBefore w:val="0"/>
        <w:kinsoku/>
        <w:wordWrap w:val="0"/>
        <w:overflowPunct/>
        <w:topLinePunct w:val="0"/>
        <w:autoSpaceDE/>
        <w:autoSpaceDN/>
        <w:bidi w:val="0"/>
        <w:spacing w:line="540" w:lineRule="exact"/>
        <w:jc w:val="both"/>
        <w:textAlignment w:val="auto"/>
        <w:rPr>
          <w:color w:val="auto"/>
        </w:rPr>
      </w:pPr>
    </w:p>
    <w:p w14:paraId="196815EC">
      <w:pPr>
        <w:pStyle w:val="20"/>
        <w:keepNext w:val="0"/>
        <w:keepLines w:val="0"/>
        <w:pageBreakBefore w:val="0"/>
        <w:kinsoku/>
        <w:wordWrap w:val="0"/>
        <w:overflowPunct/>
        <w:topLinePunct w:val="0"/>
        <w:autoSpaceDE/>
        <w:autoSpaceDN/>
        <w:bidi w:val="0"/>
        <w:spacing w:line="540" w:lineRule="exact"/>
        <w:textAlignment w:val="auto"/>
        <w:rPr>
          <w:color w:val="auto"/>
        </w:rPr>
      </w:pPr>
    </w:p>
    <w:p w14:paraId="2F058D4A">
      <w:pPr>
        <w:keepNext w:val="0"/>
        <w:keepLines w:val="0"/>
        <w:pageBreakBefore w:val="0"/>
        <w:kinsoku/>
        <w:wordWrap w:val="0"/>
        <w:overflowPunct/>
        <w:topLinePunct w:val="0"/>
        <w:autoSpaceDE/>
        <w:autoSpaceDN/>
        <w:bidi w:val="0"/>
        <w:spacing w:line="540" w:lineRule="exact"/>
        <w:jc w:val="right"/>
        <w:textAlignment w:val="auto"/>
        <w:rPr>
          <w:color w:val="auto"/>
          <w:sz w:val="30"/>
          <w:szCs w:val="30"/>
          <w:highlight w:val="none"/>
        </w:rPr>
      </w:pPr>
      <w:r>
        <w:rPr>
          <w:rFonts w:hint="eastAsia" w:ascii="楷体" w:hAnsi="楷体" w:eastAsia="楷体" w:cs="楷体"/>
          <w:color w:val="auto"/>
          <w:sz w:val="30"/>
          <w:szCs w:val="30"/>
          <w:highlight w:val="none"/>
        </w:rPr>
        <w:t>连高环表复</w:t>
      </w:r>
      <w:r>
        <w:rPr>
          <w:rFonts w:eastAsia="楷体"/>
          <w:color w:val="auto"/>
          <w:sz w:val="30"/>
          <w:szCs w:val="30"/>
          <w:highlight w:val="none"/>
        </w:rPr>
        <w:t>〔202</w:t>
      </w:r>
      <w:r>
        <w:rPr>
          <w:rFonts w:hint="eastAsia" w:eastAsia="楷体"/>
          <w:color w:val="auto"/>
          <w:sz w:val="30"/>
          <w:szCs w:val="30"/>
          <w:highlight w:val="none"/>
          <w:lang w:val="en-US" w:eastAsia="zh-CN"/>
        </w:rPr>
        <w:t>4</w:t>
      </w:r>
      <w:r>
        <w:rPr>
          <w:rFonts w:eastAsia="楷体"/>
          <w:color w:val="auto"/>
          <w:sz w:val="30"/>
          <w:szCs w:val="30"/>
          <w:highlight w:val="none"/>
        </w:rPr>
        <w:t>〕</w:t>
      </w:r>
      <w:r>
        <w:rPr>
          <w:rFonts w:hint="eastAsia" w:eastAsia="楷体"/>
          <w:color w:val="auto"/>
          <w:sz w:val="30"/>
          <w:szCs w:val="30"/>
          <w:highlight w:val="none"/>
          <w:lang w:val="en-US" w:eastAsia="zh-CN"/>
        </w:rPr>
        <w:t>13</w:t>
      </w:r>
      <w:r>
        <w:rPr>
          <w:rFonts w:eastAsia="楷体"/>
          <w:color w:val="auto"/>
          <w:sz w:val="30"/>
          <w:szCs w:val="30"/>
          <w:highlight w:val="none"/>
        </w:rPr>
        <w:t>号</w:t>
      </w:r>
    </w:p>
    <w:p w14:paraId="6E3A5E50">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eastAsia="方正小标宋简体"/>
          <w:bCs/>
          <w:color w:val="auto"/>
          <w:sz w:val="44"/>
          <w:szCs w:val="44"/>
        </w:rPr>
      </w:pPr>
      <w:r>
        <w:rPr>
          <w:rFonts w:eastAsia="方正小标宋简体"/>
          <w:bCs/>
          <w:color w:val="auto"/>
          <w:sz w:val="44"/>
          <w:szCs w:val="44"/>
        </w:rPr>
        <w:t>关于对</w:t>
      </w:r>
      <w:r>
        <w:rPr>
          <w:rFonts w:hint="eastAsia" w:eastAsia="方正小标宋简体"/>
          <w:bCs/>
          <w:color w:val="auto"/>
          <w:sz w:val="44"/>
          <w:szCs w:val="44"/>
          <w:lang w:eastAsia="zh-CN"/>
        </w:rPr>
        <w:t>江苏联瑞新材料股份有限公司</w:t>
      </w:r>
      <w:r>
        <w:rPr>
          <w:rFonts w:hint="eastAsia" w:eastAsia="方正小标宋简体"/>
          <w:bCs/>
          <w:color w:val="auto"/>
          <w:sz w:val="44"/>
          <w:szCs w:val="44"/>
          <w:lang w:val="en-US" w:eastAsia="zh-CN"/>
        </w:rPr>
        <w:t>集成电路用电子级功能粉体材料建设项目</w:t>
      </w:r>
      <w:r>
        <w:rPr>
          <w:rFonts w:eastAsia="方正小标宋简体"/>
          <w:bCs/>
          <w:color w:val="auto"/>
          <w:sz w:val="44"/>
          <w:szCs w:val="44"/>
        </w:rPr>
        <w:t>环境影响</w:t>
      </w:r>
    </w:p>
    <w:p w14:paraId="6F01B6EF">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eastAsia="方正小标宋简体"/>
          <w:bCs/>
          <w:color w:val="auto"/>
          <w:sz w:val="44"/>
          <w:szCs w:val="44"/>
        </w:rPr>
      </w:pPr>
      <w:r>
        <w:rPr>
          <w:rFonts w:eastAsia="方正小标宋简体"/>
          <w:bCs/>
          <w:color w:val="auto"/>
          <w:sz w:val="44"/>
          <w:szCs w:val="44"/>
        </w:rPr>
        <w:t>报告表的批复</w:t>
      </w:r>
    </w:p>
    <w:p w14:paraId="77DB3DB2">
      <w:pPr>
        <w:keepNext w:val="0"/>
        <w:keepLines w:val="0"/>
        <w:pageBreakBefore w:val="0"/>
        <w:kinsoku/>
        <w:wordWrap w:val="0"/>
        <w:overflowPunct/>
        <w:topLinePunct w:val="0"/>
        <w:autoSpaceDE/>
        <w:autoSpaceDN/>
        <w:bidi w:val="0"/>
        <w:adjustRightInd w:val="0"/>
        <w:spacing w:line="540" w:lineRule="exact"/>
        <w:ind w:firstLine="640" w:firstLineChars="200"/>
        <w:textAlignment w:val="auto"/>
        <w:rPr>
          <w:rFonts w:eastAsia="仿宋_GB2312"/>
          <w:color w:val="auto"/>
          <w:sz w:val="32"/>
          <w:szCs w:val="32"/>
        </w:rPr>
      </w:pPr>
    </w:p>
    <w:p w14:paraId="2B2B4BA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江苏联瑞新材料股份有限公司：</w:t>
      </w:r>
    </w:p>
    <w:p w14:paraId="641E234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你公司委托连云港晴好工程咨询有限公司编制的《江苏联瑞新材料股份有限公司集成电路用电子级功能粉体材料建设项目环境影响报告表》（项目代码：2310-320772-89-02-594939，以下简称《报告表》）及相关资料收悉。经研究，批复如下：</w:t>
      </w:r>
    </w:p>
    <w:p w14:paraId="0C22C0CA">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eastAsia="仿宋_GB2312" w:cs="Times New Roman"/>
          <w:color w:val="auto"/>
          <w:sz w:val="32"/>
          <w:szCs w:val="32"/>
          <w:highlight w:val="none"/>
          <w:lang w:val="en-US" w:eastAsia="zh-CN"/>
        </w:rPr>
      </w:pPr>
      <w:r>
        <w:rPr>
          <w:rFonts w:hint="eastAsia" w:eastAsia="仿宋_GB2312"/>
          <w:color w:val="auto"/>
          <w:sz w:val="32"/>
          <w:szCs w:val="32"/>
          <w:highlight w:val="none"/>
          <w:lang w:val="en-US" w:eastAsia="zh-CN"/>
        </w:rPr>
        <w:t>本项目为扩建项目，位于连云港高新区新浦工业园东海路17号</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总投资</w:t>
      </w:r>
      <w:r>
        <w:rPr>
          <w:rFonts w:hint="eastAsia" w:eastAsia="仿宋_GB2312" w:cs="Times New Roman"/>
          <w:color w:val="auto"/>
          <w:sz w:val="32"/>
          <w:szCs w:val="32"/>
          <w:highlight w:val="none"/>
          <w:lang w:val="en-US" w:eastAsia="zh-CN"/>
        </w:rPr>
        <w:t>1280</w:t>
      </w:r>
      <w:r>
        <w:rPr>
          <w:rFonts w:hint="eastAsia" w:ascii="Times New Roman" w:hAnsi="Times New Roman" w:eastAsia="仿宋_GB2312" w:cs="Times New Roman"/>
          <w:color w:val="auto"/>
          <w:sz w:val="32"/>
          <w:szCs w:val="32"/>
          <w:highlight w:val="none"/>
          <w:lang w:val="en-US" w:eastAsia="zh-CN"/>
        </w:rPr>
        <w:t>0万元</w:t>
      </w:r>
      <w:r>
        <w:rPr>
          <w:rFonts w:hint="eastAsia" w:eastAsia="仿宋_GB2312" w:cs="Times New Roman"/>
          <w:color w:val="auto"/>
          <w:sz w:val="32"/>
          <w:szCs w:val="32"/>
          <w:highlight w:val="none"/>
          <w:lang w:val="en-US" w:eastAsia="zh-CN"/>
        </w:rPr>
        <w:t>，其中环保投资200万元。主要建设内容：购置球磨系统、气流粉碎系统、研磨整形系统、表面改性系统、筛分分级系统等设备，新增设备平台、供电系统、空气压缩系统等辅助公用工程配套设施，项目建成投产后，将形成年产25200吨电子级功能粉体材料。</w:t>
      </w:r>
    </w:p>
    <w:p w14:paraId="3497B3A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二、根据《报告表》的论述及评价结论，在落实《报告表》中提出的各项污染防治、风险防范措施的前提下，从生态环境角度考虑，同意你公司按《报告表》所述内容进行建设。</w:t>
      </w:r>
    </w:p>
    <w:p w14:paraId="615DBF4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三、在项目工程设计、建设和环境管理中，你公司须全过程贯彻清洁生产理念，落实《报告表》中提出的各项污染防治措施，确保各类污染物稳定达标排放，并须着重落实以下要求：</w:t>
      </w:r>
    </w:p>
    <w:p w14:paraId="2BE7A3F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lang w:eastAsia="zh-CN"/>
        </w:rPr>
      </w:pPr>
      <w:r>
        <w:rPr>
          <w:rFonts w:hint="eastAsia" w:eastAsia="仿宋_GB2312"/>
          <w:color w:val="auto"/>
          <w:sz w:val="32"/>
          <w:szCs w:val="32"/>
          <w:lang w:eastAsia="zh-CN"/>
        </w:rPr>
        <w:t>（一）</w:t>
      </w:r>
      <w:r>
        <w:rPr>
          <w:rFonts w:eastAsia="仿宋_GB2312"/>
          <w:color w:val="auto"/>
          <w:sz w:val="32"/>
          <w:szCs w:val="32"/>
        </w:rPr>
        <w:t>落实废气污染防治措施</w:t>
      </w:r>
      <w:r>
        <w:rPr>
          <w:rFonts w:hint="eastAsia" w:eastAsia="仿宋_GB2312"/>
          <w:color w:val="auto"/>
          <w:sz w:val="32"/>
          <w:szCs w:val="32"/>
          <w:lang w:eastAsia="zh-CN"/>
        </w:rPr>
        <w:t>。严格落实《报告表》提出的各项废气污染防治措施，确保废气的收集、处理效率达到《报告表》要求。</w:t>
      </w:r>
      <w:r>
        <w:rPr>
          <w:rFonts w:hint="eastAsia" w:ascii="Times New Roman" w:hAnsi="Times New Roman" w:eastAsia="仿宋_GB2312" w:cs="Times New Roman"/>
          <w:color w:val="auto"/>
          <w:kern w:val="2"/>
          <w:sz w:val="32"/>
          <w:szCs w:val="32"/>
          <w:lang w:val="en-US" w:eastAsia="zh-CN" w:bidi="ar-SA"/>
        </w:rPr>
        <w:t>车间四：间隙磨线投料粉尘废气经滤袋除尘器处理后通过15m高排气筒DA014排放；输送及包装粉尘废气经滤筒除尘器处理后通过15m高排气筒DA015排放。车间五：圆角粉生产线投料及碾磨粉尘废气经滤袋除尘器处理</w:t>
      </w:r>
      <w:r>
        <w:rPr>
          <w:rFonts w:hint="eastAsia"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改性生产线投料粉尘废气经滤袋除尘器处理</w:t>
      </w:r>
      <w:r>
        <w:rPr>
          <w:rFonts w:hint="eastAsia"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角粉生产线和改性生产线输送及包装粉尘废气经</w:t>
      </w:r>
      <w:r>
        <w:rPr>
          <w:rFonts w:hint="eastAsia" w:eastAsia="仿宋_GB2312" w:cs="Times New Roman"/>
          <w:color w:val="auto"/>
          <w:kern w:val="2"/>
          <w:sz w:val="32"/>
          <w:szCs w:val="32"/>
          <w:lang w:val="en-US" w:eastAsia="zh-CN" w:bidi="ar-SA"/>
        </w:rPr>
        <w:t>各自配套的</w:t>
      </w:r>
      <w:r>
        <w:rPr>
          <w:rFonts w:hint="eastAsia" w:ascii="Times New Roman" w:hAnsi="Times New Roman" w:eastAsia="仿宋_GB2312" w:cs="Times New Roman"/>
          <w:color w:val="auto"/>
          <w:kern w:val="2"/>
          <w:sz w:val="32"/>
          <w:szCs w:val="32"/>
          <w:lang w:val="en-US" w:eastAsia="zh-CN" w:bidi="ar-SA"/>
        </w:rPr>
        <w:t>滤筒</w:t>
      </w:r>
      <w:r>
        <w:rPr>
          <w:rFonts w:hint="eastAsia" w:ascii="Times New Roman" w:hAnsi="Times New Roman" w:eastAsia="仿宋_GB2312" w:cs="Times New Roman"/>
          <w:color w:val="auto"/>
          <w:kern w:val="2"/>
          <w:sz w:val="32"/>
          <w:szCs w:val="32"/>
          <w:lang w:val="en-US" w:eastAsia="zh-CN" w:bidi="ar-SA"/>
        </w:rPr>
        <w:t>除尘器处理</w:t>
      </w:r>
      <w:r>
        <w:rPr>
          <w:rFonts w:hint="eastAsia"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角粉生产线和改性生产线所有处理后的废气通过15m高排气筒DA016排放</w:t>
      </w:r>
      <w:r>
        <w:rPr>
          <w:rFonts w:hint="eastAsia"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混合生产线投料、输送及包装粉尘废气经滤筒除尘器处理后通过15m高排气筒DA017排放；气流磨生产线投料及粉碎粉尘废气经滤袋除尘器处理，输送及包装粉尘废气经滤筒除尘器处理</w:t>
      </w:r>
      <w:r>
        <w:rPr>
          <w:rFonts w:hint="eastAsia" w:eastAsia="仿宋_GB2312" w:cs="Times New Roman"/>
          <w:color w:val="auto"/>
          <w:kern w:val="2"/>
          <w:sz w:val="32"/>
          <w:szCs w:val="32"/>
          <w:lang w:val="en-US" w:eastAsia="zh-CN" w:bidi="ar-SA"/>
        </w:rPr>
        <w:t>，处理</w:t>
      </w:r>
      <w:r>
        <w:rPr>
          <w:rFonts w:hint="eastAsia" w:ascii="Times New Roman" w:hAnsi="Times New Roman" w:eastAsia="仿宋_GB2312" w:cs="Times New Roman"/>
          <w:color w:val="auto"/>
          <w:kern w:val="2"/>
          <w:sz w:val="32"/>
          <w:szCs w:val="32"/>
          <w:lang w:val="en-US" w:eastAsia="zh-CN" w:bidi="ar-SA"/>
        </w:rPr>
        <w:t>后</w:t>
      </w:r>
      <w:r>
        <w:rPr>
          <w:rFonts w:hint="eastAsia" w:eastAsia="仿宋_GB2312" w:cs="Times New Roman"/>
          <w:color w:val="auto"/>
          <w:kern w:val="2"/>
          <w:sz w:val="32"/>
          <w:szCs w:val="32"/>
          <w:lang w:val="en-US" w:eastAsia="zh-CN" w:bidi="ar-SA"/>
        </w:rPr>
        <w:t>的粉尘</w:t>
      </w:r>
      <w:r>
        <w:rPr>
          <w:rFonts w:hint="eastAsia" w:ascii="Times New Roman" w:hAnsi="Times New Roman" w:eastAsia="仿宋_GB2312" w:cs="Times New Roman"/>
          <w:color w:val="auto"/>
          <w:kern w:val="2"/>
          <w:sz w:val="32"/>
          <w:szCs w:val="32"/>
          <w:lang w:val="en-US" w:eastAsia="zh-CN" w:bidi="ar-SA"/>
        </w:rPr>
        <w:t>一起经15m高排气筒DA018排放。</w:t>
      </w:r>
    </w:p>
    <w:p w14:paraId="0157B73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项目无组织废气主要为包装工段未被收集到的废气、活性炭吸附后的化验室废气及自带滤膜除尘后的车间各料仓废气。</w:t>
      </w:r>
    </w:p>
    <w:p w14:paraId="4E70D810">
      <w:pPr>
        <w:keepNext w:val="0"/>
        <w:keepLines w:val="0"/>
        <w:pageBreakBefore w:val="0"/>
        <w:widowControl w:val="0"/>
        <w:kinsoku/>
        <w:wordWrap/>
        <w:overflowPunct/>
        <w:topLinePunct w:val="0"/>
        <w:autoSpaceDE/>
        <w:autoSpaceDN/>
        <w:bidi w:val="0"/>
        <w:adjustRightInd w:val="0"/>
        <w:snapToGrid w:val="0"/>
        <w:spacing w:line="560" w:lineRule="exact"/>
        <w:ind w:firstLine="572" w:firstLineChars="200"/>
        <w:jc w:val="both"/>
        <w:textAlignment w:val="auto"/>
        <w:rPr>
          <w:rFonts w:hint="eastAsia" w:eastAsia="仿宋_GB2312"/>
          <w:color w:val="auto"/>
          <w:sz w:val="32"/>
          <w:szCs w:val="32"/>
          <w:highlight w:val="none"/>
          <w:lang w:val="en-US" w:eastAsia="zh-CN"/>
        </w:rPr>
      </w:pPr>
      <w:r>
        <w:rPr>
          <w:rFonts w:hint="eastAsia" w:eastAsia="仿宋_GB2312"/>
          <w:color w:val="auto"/>
          <w:spacing w:val="-17"/>
          <w:sz w:val="32"/>
          <w:szCs w:val="32"/>
          <w:lang w:val="en-US" w:eastAsia="zh-CN"/>
        </w:rPr>
        <w:t>颗粒物废气执行《大气污染物综合排放标准》（DB32/4041-2021）</w:t>
      </w:r>
      <w:r>
        <w:rPr>
          <w:rFonts w:hint="eastAsia" w:eastAsia="仿宋_GB2312"/>
          <w:color w:val="auto"/>
          <w:sz w:val="32"/>
          <w:szCs w:val="32"/>
          <w:lang w:val="en-US" w:eastAsia="zh-CN"/>
        </w:rPr>
        <w:t>中表1、3中相关标准限值；挥发性有机物执行</w:t>
      </w:r>
      <w:r>
        <w:rPr>
          <w:rFonts w:hint="eastAsia" w:eastAsia="仿宋_GB2312"/>
          <w:color w:val="auto"/>
          <w:sz w:val="32"/>
          <w:szCs w:val="32"/>
          <w:highlight w:val="none"/>
          <w:lang w:val="en-US" w:eastAsia="zh-CN"/>
        </w:rPr>
        <w:t>《大气污染物综合排放标准》（DB32/4041-2021）表2、3中相关标准限值。</w:t>
      </w:r>
    </w:p>
    <w:p w14:paraId="770B991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二）加强水污染防治。按“雨污分流、分质处理”原则设计、建设和完善厂区给排水系统，落实地下水、土壤污染防治措施。项目废水主要是生活污水、纯水制备浓水，生活污水经化粪池处理后和浓水一并接入浦南污水处理厂处理。</w:t>
      </w:r>
    </w:p>
    <w:p w14:paraId="2960E27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（三）加强噪声污染防治。通过采取隔声、减震等措施，从源头降低噪声源；合理布局、加强管理等措施确保厂界噪声达到《工业企业厂界环境噪声排放标准》（GB12348-2008）3类标准。</w:t>
      </w:r>
    </w:p>
    <w:p w14:paraId="562DD648">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（四）严格落实固体废物污染防治措施。项目须按“资源化、减量化、无害化”的处置原则，落实固体废物的收集、贮存和处置措施，做好固体废物全过程</w:t>
      </w:r>
      <w:r>
        <w:rPr>
          <w:rFonts w:hint="eastAsia" w:ascii="Times New Roman" w:hAnsi="Times New Roman" w:eastAsia="仿宋_GB2312" w:cs="Times New Roman"/>
          <w:color w:val="auto"/>
          <w:sz w:val="32"/>
          <w:szCs w:val="32"/>
          <w:lang w:val="en-US" w:eastAsia="zh-CN"/>
        </w:rPr>
        <w:t>管理，确保不产生二次污染。</w:t>
      </w:r>
      <w:r>
        <w:rPr>
          <w:rFonts w:hint="eastAsia" w:eastAsia="仿宋_GB2312"/>
          <w:color w:val="auto"/>
          <w:sz w:val="32"/>
          <w:szCs w:val="32"/>
          <w:lang w:val="en-US" w:eastAsia="zh-CN"/>
        </w:rPr>
        <w:t>滤袋/滤筒除尘器收集的粉尘、不合格品回用于生产；废包装袋、含铁废粉、废滤袋、筛分杂质为一般工业固废，外售综合利用；纯水制备反渗透膜厂家回收；废机油、废活性炭、乙醇包装桶及化验废样品等危险废物，委托有资质单位处理。生活垃圾由环卫部门统一清运。一般工业固废贮存、处置执行《一般工业固体废物贮存和填埋污染控制标准》（GB18599-2020)中相关标准。危险废物执行《危险废物贮存污染控制标准》（GB18597-2023）、《江苏省固体废物全过程环境监管工作意见》（苏环办</w:t>
      </w:r>
      <w:r>
        <w:rPr>
          <w:rFonts w:hint="eastAsia" w:ascii="微软雅黑" w:hAnsi="微软雅黑" w:eastAsia="微软雅黑" w:cs="微软雅黑"/>
          <w:color w:val="auto"/>
          <w:sz w:val="32"/>
          <w:szCs w:val="32"/>
          <w:lang w:val="en-US" w:eastAsia="zh-CN"/>
        </w:rPr>
        <w:t>〔</w:t>
      </w:r>
      <w:r>
        <w:rPr>
          <w:rFonts w:hint="eastAsia" w:eastAsia="仿宋_GB2312"/>
          <w:color w:val="auto"/>
          <w:sz w:val="32"/>
          <w:szCs w:val="32"/>
          <w:lang w:val="en-US" w:eastAsia="zh-CN"/>
        </w:rPr>
        <w:t>2024</w:t>
      </w:r>
      <w:r>
        <w:rPr>
          <w:rFonts w:hint="eastAsia" w:ascii="微软雅黑" w:hAnsi="微软雅黑" w:eastAsia="微软雅黑" w:cs="微软雅黑"/>
          <w:color w:val="auto"/>
          <w:sz w:val="32"/>
          <w:szCs w:val="32"/>
          <w:lang w:val="en-US" w:eastAsia="zh-CN"/>
        </w:rPr>
        <w:t>〕</w:t>
      </w:r>
      <w:r>
        <w:rPr>
          <w:rFonts w:hint="eastAsia" w:eastAsia="仿宋_GB2312"/>
          <w:color w:val="auto"/>
          <w:sz w:val="32"/>
          <w:szCs w:val="32"/>
          <w:lang w:val="en-US" w:eastAsia="zh-CN"/>
        </w:rPr>
        <w:t>16号）中的相关规定。</w:t>
      </w:r>
    </w:p>
    <w:p w14:paraId="78C3A83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（五）严格落实《报告表》中提出的土壤和地下水污染防治措施，实施分区防渗，对重点防渗区、一般防渗区和简单防渗区等采取相应等级的防渗措施。</w:t>
      </w:r>
    </w:p>
    <w:p w14:paraId="569BD14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（六）按《江苏省排污口设置及规范化整治管理办法》</w:t>
      </w:r>
      <w:r>
        <w:rPr>
          <w:rFonts w:hint="eastAsia" w:eastAsia="仿宋_GB2312"/>
          <w:color w:val="auto"/>
          <w:sz w:val="32"/>
          <w:szCs w:val="32"/>
          <w:highlight w:val="none"/>
          <w:lang w:val="en-US" w:eastAsia="zh-CN"/>
        </w:rPr>
        <w:t>要求设置各类</w:t>
      </w:r>
      <w:r>
        <w:rPr>
          <w:rFonts w:hint="eastAsia" w:eastAsia="仿宋_GB2312"/>
          <w:color w:val="auto"/>
          <w:sz w:val="32"/>
          <w:szCs w:val="32"/>
          <w:lang w:val="en-US" w:eastAsia="zh-CN"/>
        </w:rPr>
        <w:t>排污口、标志等，按照《报告表》提出的环境管理与监测计划实施日常环境管理与监测。</w:t>
      </w:r>
    </w:p>
    <w:p w14:paraId="67CAF06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eastAsia="仿宋_GB2312"/>
          <w:b/>
          <w:bCs/>
          <w:color w:val="auto"/>
          <w:sz w:val="32"/>
          <w:szCs w:val="32"/>
          <w:lang w:val="en-US" w:eastAsia="zh-CN"/>
        </w:rPr>
      </w:pPr>
      <w:r>
        <w:rPr>
          <w:rFonts w:hint="eastAsia" w:eastAsia="仿宋_GB2312"/>
          <w:color w:val="auto"/>
          <w:sz w:val="32"/>
          <w:szCs w:val="32"/>
          <w:lang w:val="en-US" w:eastAsia="zh-CN"/>
        </w:rPr>
        <w:t>（七）加强设备运行及环境风险管理，落实《报告表》提出的风险防范措施，编制突发环境事故应急预案。开展环境治理设施安全风险识别管控，健全内部污染防治设施稳定运行和管理责任制度，严格依据标准规范建设环境治理设施，确保环境治理设施安全、稳定、有效运行。同时采取切实可行的工程控制和管理措施，防止发生污染事故。</w:t>
      </w:r>
    </w:p>
    <w:p w14:paraId="4E500269">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四、</w:t>
      </w:r>
      <w:r>
        <w:rPr>
          <w:rFonts w:eastAsia="仿宋_GB2312"/>
          <w:color w:val="auto"/>
          <w:sz w:val="32"/>
          <w:szCs w:val="32"/>
        </w:rPr>
        <w:t>本项目</w:t>
      </w:r>
      <w:r>
        <w:rPr>
          <w:rFonts w:hint="eastAsia" w:eastAsia="仿宋_GB2312"/>
          <w:color w:val="auto"/>
          <w:sz w:val="32"/>
          <w:szCs w:val="32"/>
          <w:lang w:val="en-US" w:eastAsia="zh-CN"/>
        </w:rPr>
        <w:t>颗粒物在企业现有总量中平衡。</w:t>
      </w:r>
    </w:p>
    <w:p w14:paraId="15ACA49D">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1.本项目污染物排放总量控制指标</w:t>
      </w:r>
      <w:r>
        <w:rPr>
          <w:rFonts w:ascii="Times New Roman" w:hAnsi="Times New Roman" w:eastAsia="仿宋_GB2312" w:cs="Times New Roman"/>
          <w:color w:val="auto"/>
          <w:sz w:val="32"/>
          <w:szCs w:val="32"/>
        </w:rPr>
        <w:t>：</w:t>
      </w:r>
    </w:p>
    <w:p w14:paraId="22F7D847">
      <w:pPr>
        <w:keepNext w:val="0"/>
        <w:keepLines w:val="0"/>
        <w:pageBreakBefore w:val="0"/>
        <w:widowControl w:val="0"/>
        <w:tabs>
          <w:tab w:val="left" w:pos="1365"/>
        </w:tabs>
        <w:kinsoku/>
        <w:overflowPunct/>
        <w:topLinePunct w:val="0"/>
        <w:autoSpaceDE/>
        <w:autoSpaceDN/>
        <w:bidi w:val="0"/>
        <w:adjustRightInd w:val="0"/>
        <w:snapToGrid w:val="0"/>
        <w:spacing w:line="560" w:lineRule="exact"/>
        <w:ind w:firstLine="640" w:firstLineChars="200"/>
        <w:textAlignment w:val="auto"/>
        <w:rPr>
          <w:rFonts w:eastAsia="仿宋"/>
          <w:bCs/>
          <w:sz w:val="30"/>
          <w:szCs w:val="30"/>
        </w:rPr>
      </w:pPr>
      <w:r>
        <w:rPr>
          <w:rFonts w:hint="eastAsia" w:eastAsia="仿宋_GB2312" w:cs="Times New Roman"/>
          <w:color w:val="auto"/>
          <w:sz w:val="32"/>
          <w:szCs w:val="32"/>
          <w:lang w:eastAsia="zh-CN"/>
        </w:rPr>
        <w:t>（</w:t>
      </w:r>
      <w:r>
        <w:rPr>
          <w:rFonts w:hint="eastAsia" w:eastAsia="仿宋_GB2312" w:cs="Times New Roman"/>
          <w:color w:val="auto"/>
          <w:sz w:val="32"/>
          <w:szCs w:val="32"/>
          <w:lang w:val="en-US" w:eastAsia="zh-CN"/>
        </w:rPr>
        <w:t>1</w:t>
      </w:r>
      <w:r>
        <w:rPr>
          <w:rFonts w:hint="eastAsia"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大气污染物</w:t>
      </w:r>
      <w:r>
        <w:rPr>
          <w:rFonts w:hint="eastAsia" w:eastAsia="仿宋_GB2312"/>
          <w:color w:val="auto"/>
          <w:sz w:val="32"/>
          <w:szCs w:val="32"/>
          <w:lang w:eastAsia="zh-CN"/>
        </w:rPr>
        <w:t>（有组织）</w:t>
      </w:r>
      <w:r>
        <w:rPr>
          <w:rFonts w:hint="eastAsia" w:ascii="Times New Roman" w:hAnsi="Times New Roman" w:eastAsia="仿宋_GB2312" w:cs="Times New Roman"/>
          <w:color w:val="auto"/>
          <w:sz w:val="32"/>
          <w:szCs w:val="32"/>
          <w:lang w:eastAsia="zh-CN"/>
        </w:rPr>
        <w:t>：</w:t>
      </w:r>
      <w:r>
        <w:rPr>
          <w:rFonts w:eastAsia="仿宋"/>
          <w:bCs/>
          <w:sz w:val="30"/>
          <w:szCs w:val="30"/>
        </w:rPr>
        <w:t>颗粒物1.046t/a。</w:t>
      </w:r>
    </w:p>
    <w:p w14:paraId="3F4D6724">
      <w:pPr>
        <w:keepNext w:val="0"/>
        <w:keepLines w:val="0"/>
        <w:pageBreakBefore w:val="0"/>
        <w:widowControl w:val="0"/>
        <w:tabs>
          <w:tab w:val="left" w:pos="1365"/>
        </w:tabs>
        <w:kinsoku/>
        <w:overflowPunct/>
        <w:topLinePunct w:val="0"/>
        <w:autoSpaceDE/>
        <w:autoSpaceDN/>
        <w:bidi w:val="0"/>
        <w:adjustRightInd w:val="0"/>
        <w:snapToGrid w:val="0"/>
        <w:spacing w:line="560" w:lineRule="exact"/>
        <w:ind w:firstLine="640" w:firstLineChars="200"/>
        <w:textAlignment w:val="auto"/>
        <w:rPr>
          <w:rFonts w:hint="eastAsia" w:eastAsia="仿宋"/>
          <w:bCs/>
          <w:sz w:val="30"/>
          <w:szCs w:val="30"/>
          <w:lang w:eastAsia="zh-CN"/>
        </w:rPr>
      </w:pPr>
      <w:r>
        <w:rPr>
          <w:rFonts w:hint="eastAsia"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eastAsia="zh-CN"/>
        </w:rPr>
        <w:t>水污染物（接管考核量）</w:t>
      </w:r>
      <w:r>
        <w:rPr>
          <w:rFonts w:eastAsia="仿宋"/>
          <w:bCs/>
          <w:sz w:val="30"/>
          <w:szCs w:val="30"/>
        </w:rPr>
        <w:t>：废水量4306m</w:t>
      </w:r>
      <w:r>
        <w:rPr>
          <w:rFonts w:eastAsia="仿宋"/>
          <w:bCs/>
          <w:sz w:val="30"/>
          <w:szCs w:val="30"/>
          <w:vertAlign w:val="superscript"/>
        </w:rPr>
        <w:t>3</w:t>
      </w:r>
      <w:r>
        <w:rPr>
          <w:rFonts w:eastAsia="仿宋"/>
          <w:bCs/>
          <w:sz w:val="30"/>
          <w:szCs w:val="30"/>
        </w:rPr>
        <w:t>/a；COD0.326t/a、SS0.23t/a、氨氮0.019t/a、总氮0.029t/a、总磷0.003t/a</w:t>
      </w:r>
      <w:r>
        <w:rPr>
          <w:rFonts w:hint="eastAsia" w:eastAsia="仿宋"/>
          <w:bCs/>
          <w:sz w:val="30"/>
          <w:szCs w:val="30"/>
          <w:lang w:eastAsia="zh-CN"/>
        </w:rPr>
        <w:t>；</w:t>
      </w:r>
      <w:bookmarkStart w:id="0" w:name="_GoBack"/>
      <w:bookmarkEnd w:id="0"/>
    </w:p>
    <w:p w14:paraId="6B8C45F8">
      <w:pPr>
        <w:keepNext w:val="0"/>
        <w:keepLines w:val="0"/>
        <w:pageBreakBefore w:val="0"/>
        <w:widowControl w:val="0"/>
        <w:tabs>
          <w:tab w:val="left" w:pos="1365"/>
        </w:tabs>
        <w:kinsoku/>
        <w:overflowPunct/>
        <w:topLinePunct w:val="0"/>
        <w:autoSpaceDE/>
        <w:autoSpaceDN/>
        <w:bidi w:val="0"/>
        <w:adjustRightInd w:val="0"/>
        <w:snapToGrid w:val="0"/>
        <w:spacing w:line="560" w:lineRule="exact"/>
        <w:ind w:firstLine="640" w:firstLineChars="200"/>
        <w:textAlignment w:val="auto"/>
        <w:rPr>
          <w:rFonts w:hint="eastAsia" w:eastAsia="仿宋"/>
          <w:bCs/>
          <w:sz w:val="30"/>
          <w:szCs w:val="30"/>
          <w:lang w:eastAsia="zh-CN"/>
        </w:rPr>
      </w:pPr>
      <w:r>
        <w:rPr>
          <w:rFonts w:hint="eastAsia" w:ascii="Times New Roman" w:hAnsi="Times New Roman" w:eastAsia="仿宋_GB2312" w:cs="Times New Roman"/>
          <w:color w:val="auto"/>
          <w:sz w:val="32"/>
          <w:szCs w:val="32"/>
          <w:lang w:eastAsia="zh-CN"/>
        </w:rPr>
        <w:t>水污染物</w:t>
      </w:r>
      <w:r>
        <w:rPr>
          <w:rFonts w:hint="eastAsia" w:ascii="Times New Roman" w:hAnsi="Times New Roman" w:eastAsia="仿宋_GB2312" w:cs="Times New Roman"/>
          <w:color w:val="auto"/>
          <w:spacing w:val="-20"/>
          <w:sz w:val="32"/>
          <w:szCs w:val="32"/>
          <w:lang w:eastAsia="zh-CN"/>
        </w:rPr>
        <w:t>（外排环境量）</w:t>
      </w:r>
      <w:r>
        <w:rPr>
          <w:rFonts w:eastAsia="仿宋"/>
          <w:bCs/>
          <w:sz w:val="30"/>
          <w:szCs w:val="30"/>
        </w:rPr>
        <w:t>：废水量4306m</w:t>
      </w:r>
      <w:r>
        <w:rPr>
          <w:rFonts w:eastAsia="仿宋"/>
          <w:bCs/>
          <w:sz w:val="30"/>
          <w:szCs w:val="30"/>
          <w:vertAlign w:val="superscript"/>
        </w:rPr>
        <w:t>3</w:t>
      </w:r>
      <w:r>
        <w:rPr>
          <w:rFonts w:eastAsia="仿宋"/>
          <w:bCs/>
          <w:sz w:val="30"/>
          <w:szCs w:val="30"/>
        </w:rPr>
        <w:t>/a；COD0.215t/a、SS0.043t/a、氨氮0.019t/a、总氮0.029t/a、总磷0.002t/a</w:t>
      </w:r>
      <w:r>
        <w:rPr>
          <w:rFonts w:hint="eastAsia" w:eastAsia="仿宋"/>
          <w:bCs/>
          <w:sz w:val="30"/>
          <w:szCs w:val="30"/>
          <w:lang w:eastAsia="zh-CN"/>
        </w:rPr>
        <w:t>。</w:t>
      </w:r>
    </w:p>
    <w:p w14:paraId="09553DB7">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both"/>
        <w:textAlignment w:val="auto"/>
        <w:rPr>
          <w:rFonts w:hint="eastAsia"/>
          <w:color w:val="auto"/>
          <w:lang w:val="en-US" w:eastAsia="zh-CN"/>
        </w:rPr>
      </w:pPr>
      <w:r>
        <w:rPr>
          <w:rFonts w:hint="eastAsia"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lang w:eastAsia="zh-CN"/>
        </w:rPr>
        <w:t>固废：全部综合利用或安全处置。</w:t>
      </w:r>
    </w:p>
    <w:p w14:paraId="4A02D23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五、你公司应在本项目实际排污之前申请排污许可证或者填报排污登记表，未取得排污许可证或者申填报排污登记的，不得排放污染物。</w:t>
      </w:r>
    </w:p>
    <w:p w14:paraId="54E6540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六、严格落实生态环境保护主体责任，你公司应当对《报告表》的内容和结论负责。</w:t>
      </w:r>
    </w:p>
    <w:p w14:paraId="5CF5881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七、项目建设期间及运营期的环境监管由连云港市生态环境局高新区分局负责。项目的环保设施必须与主体工程同时建成并投入使用，并按规定办理项目竣工环保验收手续。逾期未验收，将由相关部门依法进行处置。</w:t>
      </w:r>
    </w:p>
    <w:p w14:paraId="5528B0C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eastAsia="仿宋_GB2312"/>
          <w:color w:val="auto"/>
          <w:sz w:val="32"/>
          <w:szCs w:val="32"/>
        </w:rPr>
      </w:pPr>
      <w:r>
        <w:rPr>
          <w:rFonts w:hint="eastAsia" w:eastAsia="仿宋_GB2312"/>
          <w:color w:val="auto"/>
          <w:sz w:val="32"/>
          <w:szCs w:val="32"/>
          <w:lang w:val="en-US" w:eastAsia="zh-CN"/>
        </w:rPr>
        <w:t>八、项目的性质、规模、地点或者防治污染、防止生态破坏的措施发生重大变动的，应当重新报批项目的环境影响评价文件。项目自批准之日起超过五年方开工建设的，环评文件须重新报审</w:t>
      </w:r>
      <w:r>
        <w:rPr>
          <w:rFonts w:eastAsia="仿宋_GB2312"/>
          <w:color w:val="auto"/>
          <w:sz w:val="32"/>
          <w:szCs w:val="32"/>
        </w:rPr>
        <w:t>。</w:t>
      </w:r>
    </w:p>
    <w:p w14:paraId="295058BE">
      <w:pPr>
        <w:keepNext w:val="0"/>
        <w:keepLines w:val="0"/>
        <w:pageBreakBefore w:val="0"/>
        <w:widowControl w:val="0"/>
        <w:kinsoku/>
        <w:wordWrap w:val="0"/>
        <w:overflowPunct/>
        <w:topLinePunct w:val="0"/>
        <w:autoSpaceDE/>
        <w:autoSpaceDN/>
        <w:bidi w:val="0"/>
        <w:adjustRightInd w:val="0"/>
        <w:snapToGrid w:val="0"/>
        <w:spacing w:line="540" w:lineRule="exact"/>
        <w:ind w:firstLine="640" w:firstLineChars="200"/>
        <w:textAlignment w:val="auto"/>
        <w:rPr>
          <w:rFonts w:eastAsia="仿宋_GB2312"/>
          <w:color w:val="auto"/>
          <w:sz w:val="32"/>
          <w:szCs w:val="32"/>
        </w:rPr>
      </w:pPr>
    </w:p>
    <w:p w14:paraId="2D6B9985">
      <w:pPr>
        <w:keepNext w:val="0"/>
        <w:keepLines w:val="0"/>
        <w:pageBreakBefore w:val="0"/>
        <w:widowControl w:val="0"/>
        <w:kinsoku/>
        <w:wordWrap w:val="0"/>
        <w:overflowPunct/>
        <w:topLinePunct w:val="0"/>
        <w:autoSpaceDE/>
        <w:autoSpaceDN/>
        <w:bidi w:val="0"/>
        <w:adjustRightInd w:val="0"/>
        <w:snapToGrid w:val="0"/>
        <w:spacing w:line="540" w:lineRule="exact"/>
        <w:ind w:firstLine="640" w:firstLineChars="200"/>
        <w:textAlignment w:val="auto"/>
        <w:rPr>
          <w:rFonts w:eastAsia="仿宋_GB2312"/>
          <w:color w:val="auto"/>
          <w:sz w:val="32"/>
          <w:szCs w:val="32"/>
        </w:rPr>
      </w:pPr>
    </w:p>
    <w:p w14:paraId="0BB1FAE5">
      <w:pPr>
        <w:keepNext w:val="0"/>
        <w:keepLines w:val="0"/>
        <w:pageBreakBefore w:val="0"/>
        <w:widowControl w:val="0"/>
        <w:kinsoku/>
        <w:wordWrap w:val="0"/>
        <w:overflowPunct/>
        <w:topLinePunct w:val="0"/>
        <w:autoSpaceDE/>
        <w:autoSpaceDN/>
        <w:bidi w:val="0"/>
        <w:adjustRightInd w:val="0"/>
        <w:snapToGrid w:val="0"/>
        <w:spacing w:line="540" w:lineRule="exact"/>
        <w:ind w:firstLine="2720" w:firstLineChars="850"/>
        <w:textAlignment w:val="auto"/>
        <w:rPr>
          <w:rFonts w:eastAsia="仿宋_GB2312"/>
          <w:color w:val="auto"/>
          <w:sz w:val="32"/>
          <w:szCs w:val="32"/>
        </w:rPr>
      </w:pPr>
      <w:r>
        <w:rPr>
          <w:rFonts w:eastAsia="仿宋_GB2312"/>
          <w:color w:val="auto"/>
          <w:sz w:val="32"/>
          <w:szCs w:val="32"/>
        </w:rPr>
        <w:t>连云港高新技术产业开发区行政审批局</w:t>
      </w:r>
    </w:p>
    <w:p w14:paraId="29EE691A">
      <w:pPr>
        <w:keepNext w:val="0"/>
        <w:keepLines w:val="0"/>
        <w:pageBreakBefore w:val="0"/>
        <w:widowControl w:val="0"/>
        <w:kinsoku/>
        <w:wordWrap w:val="0"/>
        <w:overflowPunct/>
        <w:topLinePunct w:val="0"/>
        <w:autoSpaceDE/>
        <w:autoSpaceDN/>
        <w:bidi w:val="0"/>
        <w:adjustRightInd w:val="0"/>
        <w:snapToGrid w:val="0"/>
        <w:spacing w:line="540" w:lineRule="exact"/>
        <w:ind w:firstLine="640" w:firstLineChars="200"/>
        <w:textAlignment w:val="auto"/>
        <w:rPr>
          <w:rFonts w:eastAsia="仿宋_GB2312"/>
          <w:color w:val="auto"/>
          <w:sz w:val="32"/>
          <w:szCs w:val="32"/>
          <w:highlight w:val="none"/>
        </w:rPr>
      </w:pPr>
      <w:r>
        <w:rPr>
          <w:rFonts w:eastAsia="仿宋_GB2312"/>
          <w:color w:val="auto"/>
          <w:sz w:val="32"/>
          <w:szCs w:val="32"/>
        </w:rPr>
        <w:t xml:space="preserve">                       </w:t>
      </w:r>
      <w:r>
        <w:rPr>
          <w:rFonts w:eastAsia="仿宋_GB2312"/>
          <w:color w:val="auto"/>
          <w:sz w:val="32"/>
          <w:szCs w:val="32"/>
          <w:highlight w:val="none"/>
        </w:rPr>
        <w:t xml:space="preserve">  202</w:t>
      </w:r>
      <w:r>
        <w:rPr>
          <w:rFonts w:hint="eastAsia" w:eastAsia="仿宋_GB2312"/>
          <w:color w:val="auto"/>
          <w:sz w:val="32"/>
          <w:szCs w:val="32"/>
          <w:highlight w:val="none"/>
          <w:lang w:val="en-US" w:eastAsia="zh-CN"/>
        </w:rPr>
        <w:t>4</w:t>
      </w:r>
      <w:r>
        <w:rPr>
          <w:rFonts w:eastAsia="仿宋_GB2312"/>
          <w:color w:val="auto"/>
          <w:sz w:val="32"/>
          <w:szCs w:val="32"/>
          <w:highlight w:val="none"/>
        </w:rPr>
        <w:t>年</w:t>
      </w:r>
      <w:r>
        <w:rPr>
          <w:rFonts w:hint="eastAsia" w:eastAsia="仿宋_GB2312"/>
          <w:color w:val="auto"/>
          <w:sz w:val="32"/>
          <w:szCs w:val="32"/>
          <w:highlight w:val="none"/>
          <w:lang w:val="en-US" w:eastAsia="zh-CN"/>
        </w:rPr>
        <w:t>10</w:t>
      </w:r>
      <w:r>
        <w:rPr>
          <w:rFonts w:eastAsia="仿宋_GB2312"/>
          <w:color w:val="auto"/>
          <w:sz w:val="32"/>
          <w:szCs w:val="32"/>
          <w:highlight w:val="none"/>
        </w:rPr>
        <w:t>月</w:t>
      </w:r>
      <w:r>
        <w:rPr>
          <w:rFonts w:hint="eastAsia" w:eastAsia="仿宋_GB2312"/>
          <w:color w:val="auto"/>
          <w:sz w:val="32"/>
          <w:szCs w:val="32"/>
          <w:highlight w:val="none"/>
          <w:lang w:val="en-US" w:eastAsia="zh-CN"/>
        </w:rPr>
        <w:t>25</w:t>
      </w:r>
      <w:r>
        <w:rPr>
          <w:rFonts w:eastAsia="仿宋_GB2312"/>
          <w:color w:val="auto"/>
          <w:sz w:val="32"/>
          <w:szCs w:val="32"/>
          <w:highlight w:val="none"/>
        </w:rPr>
        <w:t xml:space="preserve">日 </w:t>
      </w:r>
    </w:p>
    <w:p w14:paraId="522AA863">
      <w:pPr>
        <w:keepNext w:val="0"/>
        <w:keepLines w:val="0"/>
        <w:pageBreakBefore w:val="0"/>
        <w:widowControl w:val="0"/>
        <w:kinsoku/>
        <w:wordWrap w:val="0"/>
        <w:overflowPunct/>
        <w:topLinePunct w:val="0"/>
        <w:autoSpaceDE/>
        <w:autoSpaceDN/>
        <w:bidi w:val="0"/>
        <w:adjustRightInd w:val="0"/>
        <w:snapToGrid w:val="0"/>
        <w:spacing w:line="540" w:lineRule="exact"/>
        <w:ind w:firstLine="640" w:firstLineChars="200"/>
        <w:textAlignment w:val="auto"/>
        <w:rPr>
          <w:rFonts w:eastAsia="仿宋_GB2312"/>
          <w:color w:val="auto"/>
          <w:sz w:val="32"/>
          <w:szCs w:val="32"/>
        </w:rPr>
      </w:pPr>
    </w:p>
    <w:p w14:paraId="4C4C9832">
      <w:pPr>
        <w:keepNext w:val="0"/>
        <w:keepLines w:val="0"/>
        <w:pageBreakBefore w:val="0"/>
        <w:widowControl w:val="0"/>
        <w:kinsoku/>
        <w:wordWrap w:val="0"/>
        <w:overflowPunct/>
        <w:topLinePunct w:val="0"/>
        <w:autoSpaceDE/>
        <w:autoSpaceDN/>
        <w:bidi w:val="0"/>
        <w:adjustRightInd w:val="0"/>
        <w:snapToGrid w:val="0"/>
        <w:spacing w:line="540" w:lineRule="exact"/>
        <w:ind w:firstLine="640" w:firstLineChars="200"/>
        <w:textAlignment w:val="auto"/>
        <w:rPr>
          <w:rFonts w:eastAsia="仿宋_GB2312"/>
          <w:color w:val="auto"/>
          <w:sz w:val="32"/>
          <w:szCs w:val="32"/>
        </w:rPr>
      </w:pPr>
    </w:p>
    <w:p w14:paraId="748715B7">
      <w:pPr>
        <w:keepNext w:val="0"/>
        <w:keepLines w:val="0"/>
        <w:pageBreakBefore w:val="0"/>
        <w:widowControl w:val="0"/>
        <w:kinsoku/>
        <w:wordWrap w:val="0"/>
        <w:overflowPunct/>
        <w:topLinePunct w:val="0"/>
        <w:autoSpaceDE/>
        <w:autoSpaceDN/>
        <w:bidi w:val="0"/>
        <w:adjustRightInd w:val="0"/>
        <w:snapToGrid w:val="0"/>
        <w:spacing w:line="540" w:lineRule="exact"/>
        <w:ind w:firstLine="640" w:firstLineChars="200"/>
        <w:textAlignment w:val="auto"/>
        <w:rPr>
          <w:rFonts w:eastAsia="仿宋_GB2312"/>
          <w:color w:val="auto"/>
          <w:sz w:val="32"/>
          <w:szCs w:val="32"/>
        </w:rPr>
      </w:pPr>
    </w:p>
    <w:p w14:paraId="12C574F2">
      <w:pPr>
        <w:keepNext w:val="0"/>
        <w:keepLines w:val="0"/>
        <w:pageBreakBefore w:val="0"/>
        <w:widowControl w:val="0"/>
        <w:kinsoku/>
        <w:wordWrap w:val="0"/>
        <w:overflowPunct/>
        <w:topLinePunct w:val="0"/>
        <w:autoSpaceDE/>
        <w:autoSpaceDN/>
        <w:bidi w:val="0"/>
        <w:adjustRightInd w:val="0"/>
        <w:snapToGrid w:val="0"/>
        <w:spacing w:line="540" w:lineRule="exact"/>
        <w:ind w:firstLine="640" w:firstLineChars="200"/>
        <w:textAlignment w:val="auto"/>
        <w:rPr>
          <w:rFonts w:eastAsia="仿宋_GB2312"/>
          <w:color w:val="auto"/>
          <w:sz w:val="32"/>
          <w:szCs w:val="32"/>
        </w:rPr>
      </w:pPr>
    </w:p>
    <w:p w14:paraId="796CDCD1">
      <w:pPr>
        <w:keepNext w:val="0"/>
        <w:keepLines w:val="0"/>
        <w:pageBreakBefore w:val="0"/>
        <w:widowControl w:val="0"/>
        <w:kinsoku/>
        <w:wordWrap w:val="0"/>
        <w:overflowPunct/>
        <w:topLinePunct w:val="0"/>
        <w:autoSpaceDE/>
        <w:autoSpaceDN/>
        <w:bidi w:val="0"/>
        <w:adjustRightInd w:val="0"/>
        <w:snapToGrid w:val="0"/>
        <w:spacing w:line="540" w:lineRule="exact"/>
        <w:ind w:firstLine="640" w:firstLineChars="200"/>
        <w:textAlignment w:val="auto"/>
        <w:rPr>
          <w:rFonts w:eastAsia="仿宋_GB2312"/>
          <w:color w:val="auto"/>
          <w:sz w:val="32"/>
          <w:szCs w:val="32"/>
        </w:rPr>
      </w:pPr>
    </w:p>
    <w:p w14:paraId="2EF12165">
      <w:pPr>
        <w:keepNext w:val="0"/>
        <w:keepLines w:val="0"/>
        <w:pageBreakBefore w:val="0"/>
        <w:widowControl w:val="0"/>
        <w:kinsoku/>
        <w:wordWrap w:val="0"/>
        <w:overflowPunct/>
        <w:topLinePunct w:val="0"/>
        <w:autoSpaceDE/>
        <w:autoSpaceDN/>
        <w:bidi w:val="0"/>
        <w:adjustRightInd w:val="0"/>
        <w:snapToGrid w:val="0"/>
        <w:spacing w:line="540" w:lineRule="exact"/>
        <w:ind w:firstLine="640" w:firstLineChars="200"/>
        <w:textAlignment w:val="auto"/>
        <w:rPr>
          <w:rFonts w:eastAsia="仿宋_GB2312"/>
          <w:color w:val="auto"/>
          <w:sz w:val="32"/>
          <w:szCs w:val="32"/>
        </w:rPr>
      </w:pPr>
    </w:p>
    <w:p w14:paraId="4E22C0BF">
      <w:pPr>
        <w:keepNext w:val="0"/>
        <w:keepLines w:val="0"/>
        <w:pageBreakBefore w:val="0"/>
        <w:widowControl w:val="0"/>
        <w:kinsoku/>
        <w:wordWrap w:val="0"/>
        <w:overflowPunct/>
        <w:topLinePunct w:val="0"/>
        <w:autoSpaceDE/>
        <w:autoSpaceDN/>
        <w:bidi w:val="0"/>
        <w:adjustRightInd w:val="0"/>
        <w:snapToGrid w:val="0"/>
        <w:spacing w:line="540" w:lineRule="exact"/>
        <w:ind w:firstLine="640" w:firstLineChars="200"/>
        <w:textAlignment w:val="auto"/>
        <w:rPr>
          <w:rFonts w:eastAsia="仿宋_GB2312"/>
          <w:color w:val="auto"/>
          <w:sz w:val="32"/>
          <w:szCs w:val="32"/>
        </w:rPr>
      </w:pPr>
    </w:p>
    <w:p w14:paraId="3B144DC0">
      <w:pPr>
        <w:keepNext w:val="0"/>
        <w:keepLines w:val="0"/>
        <w:pageBreakBefore w:val="0"/>
        <w:widowControl w:val="0"/>
        <w:kinsoku/>
        <w:wordWrap w:val="0"/>
        <w:overflowPunct/>
        <w:topLinePunct w:val="0"/>
        <w:autoSpaceDE/>
        <w:autoSpaceDN/>
        <w:bidi w:val="0"/>
        <w:adjustRightInd w:val="0"/>
        <w:snapToGrid w:val="0"/>
        <w:spacing w:line="540" w:lineRule="exact"/>
        <w:ind w:firstLine="640" w:firstLineChars="200"/>
        <w:textAlignment w:val="auto"/>
        <w:rPr>
          <w:rFonts w:eastAsia="仿宋_GB2312"/>
          <w:color w:val="auto"/>
          <w:sz w:val="32"/>
          <w:szCs w:val="32"/>
        </w:rPr>
      </w:pPr>
    </w:p>
    <w:p w14:paraId="53456D52">
      <w:pPr>
        <w:keepNext w:val="0"/>
        <w:keepLines w:val="0"/>
        <w:pageBreakBefore w:val="0"/>
        <w:widowControl w:val="0"/>
        <w:kinsoku/>
        <w:wordWrap w:val="0"/>
        <w:overflowPunct/>
        <w:topLinePunct w:val="0"/>
        <w:autoSpaceDE/>
        <w:autoSpaceDN/>
        <w:bidi w:val="0"/>
        <w:adjustRightInd w:val="0"/>
        <w:snapToGrid w:val="0"/>
        <w:spacing w:line="540" w:lineRule="exact"/>
        <w:ind w:firstLine="640" w:firstLineChars="200"/>
        <w:textAlignment w:val="auto"/>
        <w:rPr>
          <w:rFonts w:eastAsia="仿宋_GB2312"/>
          <w:color w:val="auto"/>
          <w:sz w:val="32"/>
          <w:szCs w:val="32"/>
        </w:rPr>
      </w:pPr>
    </w:p>
    <w:p w14:paraId="2944B0F0">
      <w:pPr>
        <w:keepNext w:val="0"/>
        <w:keepLines w:val="0"/>
        <w:pageBreakBefore w:val="0"/>
        <w:widowControl w:val="0"/>
        <w:kinsoku/>
        <w:wordWrap w:val="0"/>
        <w:overflowPunct/>
        <w:topLinePunct w:val="0"/>
        <w:autoSpaceDE/>
        <w:autoSpaceDN/>
        <w:bidi w:val="0"/>
        <w:adjustRightInd w:val="0"/>
        <w:snapToGrid w:val="0"/>
        <w:spacing w:line="540" w:lineRule="exact"/>
        <w:ind w:firstLine="640" w:firstLineChars="200"/>
        <w:textAlignment w:val="auto"/>
        <w:rPr>
          <w:rFonts w:eastAsia="仿宋_GB2312"/>
          <w:color w:val="auto"/>
          <w:sz w:val="32"/>
          <w:szCs w:val="32"/>
        </w:rPr>
      </w:pPr>
    </w:p>
    <w:p w14:paraId="13319CBA">
      <w:pPr>
        <w:keepNext w:val="0"/>
        <w:keepLines w:val="0"/>
        <w:pageBreakBefore w:val="0"/>
        <w:widowControl w:val="0"/>
        <w:kinsoku/>
        <w:wordWrap w:val="0"/>
        <w:overflowPunct/>
        <w:topLinePunct w:val="0"/>
        <w:autoSpaceDE/>
        <w:autoSpaceDN/>
        <w:bidi w:val="0"/>
        <w:adjustRightInd w:val="0"/>
        <w:snapToGrid w:val="0"/>
        <w:spacing w:line="540" w:lineRule="exact"/>
        <w:ind w:firstLine="640" w:firstLineChars="200"/>
        <w:textAlignment w:val="auto"/>
        <w:rPr>
          <w:rFonts w:eastAsia="仿宋_GB2312"/>
          <w:color w:val="auto"/>
          <w:sz w:val="32"/>
          <w:szCs w:val="32"/>
        </w:rPr>
      </w:pPr>
    </w:p>
    <w:p w14:paraId="4E2D6908">
      <w:pPr>
        <w:keepNext w:val="0"/>
        <w:keepLines w:val="0"/>
        <w:pageBreakBefore w:val="0"/>
        <w:widowControl w:val="0"/>
        <w:kinsoku/>
        <w:wordWrap w:val="0"/>
        <w:overflowPunct/>
        <w:topLinePunct w:val="0"/>
        <w:autoSpaceDE/>
        <w:autoSpaceDN/>
        <w:bidi w:val="0"/>
        <w:adjustRightInd w:val="0"/>
        <w:snapToGrid w:val="0"/>
        <w:spacing w:line="540" w:lineRule="exact"/>
        <w:ind w:firstLine="640" w:firstLineChars="200"/>
        <w:textAlignment w:val="auto"/>
        <w:rPr>
          <w:rFonts w:eastAsia="仿宋_GB2312"/>
          <w:color w:val="auto"/>
          <w:sz w:val="32"/>
          <w:szCs w:val="32"/>
        </w:rPr>
      </w:pPr>
    </w:p>
    <w:p w14:paraId="15EB8557">
      <w:pPr>
        <w:keepNext w:val="0"/>
        <w:keepLines w:val="0"/>
        <w:pageBreakBefore w:val="0"/>
        <w:widowControl w:val="0"/>
        <w:kinsoku/>
        <w:wordWrap w:val="0"/>
        <w:overflowPunct/>
        <w:topLinePunct w:val="0"/>
        <w:autoSpaceDE/>
        <w:autoSpaceDN/>
        <w:bidi w:val="0"/>
        <w:adjustRightInd w:val="0"/>
        <w:snapToGrid w:val="0"/>
        <w:spacing w:line="540" w:lineRule="exact"/>
        <w:ind w:firstLine="640" w:firstLineChars="200"/>
        <w:textAlignment w:val="auto"/>
        <w:rPr>
          <w:rFonts w:eastAsia="仿宋_GB2312"/>
          <w:color w:val="auto"/>
          <w:sz w:val="32"/>
          <w:szCs w:val="32"/>
        </w:rPr>
      </w:pPr>
    </w:p>
    <w:p w14:paraId="28592B95">
      <w:pPr>
        <w:keepNext w:val="0"/>
        <w:keepLines w:val="0"/>
        <w:pageBreakBefore w:val="0"/>
        <w:widowControl w:val="0"/>
        <w:kinsoku/>
        <w:wordWrap w:val="0"/>
        <w:overflowPunct/>
        <w:topLinePunct w:val="0"/>
        <w:autoSpaceDE/>
        <w:autoSpaceDN/>
        <w:bidi w:val="0"/>
        <w:adjustRightInd w:val="0"/>
        <w:snapToGrid w:val="0"/>
        <w:spacing w:line="540" w:lineRule="exact"/>
        <w:textAlignment w:val="auto"/>
        <w:rPr>
          <w:rFonts w:hint="eastAsia" w:eastAsia="仿宋_GB2312"/>
          <w:color w:val="auto"/>
          <w:sz w:val="32"/>
          <w:szCs w:val="32"/>
          <w:lang w:eastAsia="zh-CN"/>
        </w:rPr>
      </w:pPr>
      <w:r>
        <w:rPr>
          <w:rFonts w:eastAsia="仿宋_GB2312"/>
          <w:color w:val="auto"/>
          <w:sz w:val="32"/>
          <w:szCs w:val="32"/>
        </w:rPr>
        <w:t>抄送：连云港市生态环境局高新区分局，</w:t>
      </w:r>
      <w:r>
        <w:rPr>
          <w:rFonts w:hint="eastAsia" w:eastAsia="仿宋_GB2312"/>
          <w:color w:val="auto"/>
          <w:sz w:val="32"/>
          <w:szCs w:val="32"/>
          <w:lang w:eastAsia="zh-CN"/>
        </w:rPr>
        <w:t>连云港晴好工程咨询有限公司</w:t>
      </w:r>
    </w:p>
    <w:sectPr>
      <w:footerReference r:id="rId3" w:type="default"/>
      <w:footerReference r:id="rId4" w:type="even"/>
      <w:pgSz w:w="11906" w:h="16838"/>
      <w:pgMar w:top="2098" w:right="1417"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B9435">
    <w:pPr>
      <w:pStyle w:val="7"/>
      <w:jc w:val="right"/>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w:t>
    </w:r>
  </w:p>
  <w:p w14:paraId="1315DE17">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9CCE4">
    <w:pPr>
      <w:pStyle w:val="7"/>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w:t>
    </w:r>
  </w:p>
  <w:p w14:paraId="3469172A">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948D8E"/>
    <w:multiLevelType w:val="singleLevel"/>
    <w:tmpl w:val="D1948D8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kZjEzZmMyNzgzMTBjN2JkMTc0NjQzNjZkNjkxYWEifQ=="/>
  </w:docVars>
  <w:rsids>
    <w:rsidRoot w:val="00A33778"/>
    <w:rsid w:val="000059B3"/>
    <w:rsid w:val="0001238B"/>
    <w:rsid w:val="00024404"/>
    <w:rsid w:val="00025971"/>
    <w:rsid w:val="00035C81"/>
    <w:rsid w:val="00053016"/>
    <w:rsid w:val="00053BD9"/>
    <w:rsid w:val="000625E2"/>
    <w:rsid w:val="00064CEA"/>
    <w:rsid w:val="000707AE"/>
    <w:rsid w:val="00093DAE"/>
    <w:rsid w:val="000A4DA5"/>
    <w:rsid w:val="000A4E84"/>
    <w:rsid w:val="000C2272"/>
    <w:rsid w:val="000C578E"/>
    <w:rsid w:val="000D5994"/>
    <w:rsid w:val="00100764"/>
    <w:rsid w:val="00101347"/>
    <w:rsid w:val="00104E77"/>
    <w:rsid w:val="00107B67"/>
    <w:rsid w:val="00135FB3"/>
    <w:rsid w:val="0016210A"/>
    <w:rsid w:val="0017326B"/>
    <w:rsid w:val="001901CA"/>
    <w:rsid w:val="001B3CA1"/>
    <w:rsid w:val="001C09A0"/>
    <w:rsid w:val="001C3C15"/>
    <w:rsid w:val="001D495D"/>
    <w:rsid w:val="001D4E75"/>
    <w:rsid w:val="001F0518"/>
    <w:rsid w:val="0021592F"/>
    <w:rsid w:val="00235633"/>
    <w:rsid w:val="00257185"/>
    <w:rsid w:val="0025762B"/>
    <w:rsid w:val="00261377"/>
    <w:rsid w:val="00261868"/>
    <w:rsid w:val="00290E82"/>
    <w:rsid w:val="002921D2"/>
    <w:rsid w:val="002A12EE"/>
    <w:rsid w:val="002B7B42"/>
    <w:rsid w:val="002C1DD6"/>
    <w:rsid w:val="002C215D"/>
    <w:rsid w:val="002D59FE"/>
    <w:rsid w:val="002F2386"/>
    <w:rsid w:val="002F52C1"/>
    <w:rsid w:val="00326697"/>
    <w:rsid w:val="003309C5"/>
    <w:rsid w:val="00346599"/>
    <w:rsid w:val="00353552"/>
    <w:rsid w:val="0036127B"/>
    <w:rsid w:val="003638F2"/>
    <w:rsid w:val="00367E1D"/>
    <w:rsid w:val="00370A26"/>
    <w:rsid w:val="00374CCA"/>
    <w:rsid w:val="003762C7"/>
    <w:rsid w:val="00381859"/>
    <w:rsid w:val="003A42C6"/>
    <w:rsid w:val="003B374D"/>
    <w:rsid w:val="003C02D9"/>
    <w:rsid w:val="003D3681"/>
    <w:rsid w:val="003F3575"/>
    <w:rsid w:val="00400B23"/>
    <w:rsid w:val="004027F2"/>
    <w:rsid w:val="0040331B"/>
    <w:rsid w:val="004067A1"/>
    <w:rsid w:val="0042713D"/>
    <w:rsid w:val="0043253D"/>
    <w:rsid w:val="004639D4"/>
    <w:rsid w:val="00467D79"/>
    <w:rsid w:val="00484C9A"/>
    <w:rsid w:val="004A2CE3"/>
    <w:rsid w:val="004A5EF5"/>
    <w:rsid w:val="004B4849"/>
    <w:rsid w:val="004B7C59"/>
    <w:rsid w:val="004C3DC8"/>
    <w:rsid w:val="004C426E"/>
    <w:rsid w:val="004F79AA"/>
    <w:rsid w:val="00510EAF"/>
    <w:rsid w:val="00522A1F"/>
    <w:rsid w:val="00534A5E"/>
    <w:rsid w:val="0054249B"/>
    <w:rsid w:val="005432FD"/>
    <w:rsid w:val="0054508C"/>
    <w:rsid w:val="005472CC"/>
    <w:rsid w:val="005534FB"/>
    <w:rsid w:val="00556D6E"/>
    <w:rsid w:val="00556D9C"/>
    <w:rsid w:val="00562D41"/>
    <w:rsid w:val="00567E19"/>
    <w:rsid w:val="00571E37"/>
    <w:rsid w:val="005976E9"/>
    <w:rsid w:val="00597F6E"/>
    <w:rsid w:val="005A206F"/>
    <w:rsid w:val="005A68E6"/>
    <w:rsid w:val="005B5556"/>
    <w:rsid w:val="005C708E"/>
    <w:rsid w:val="005C79FA"/>
    <w:rsid w:val="005D4278"/>
    <w:rsid w:val="005D561F"/>
    <w:rsid w:val="005D577F"/>
    <w:rsid w:val="005D608E"/>
    <w:rsid w:val="005D75CE"/>
    <w:rsid w:val="005E3D4A"/>
    <w:rsid w:val="005E5075"/>
    <w:rsid w:val="005E7EE4"/>
    <w:rsid w:val="00600124"/>
    <w:rsid w:val="00600CB7"/>
    <w:rsid w:val="00600FF3"/>
    <w:rsid w:val="006124A7"/>
    <w:rsid w:val="00613B2D"/>
    <w:rsid w:val="00614D66"/>
    <w:rsid w:val="006203E0"/>
    <w:rsid w:val="0062558B"/>
    <w:rsid w:val="006301DB"/>
    <w:rsid w:val="006433DC"/>
    <w:rsid w:val="00651D5A"/>
    <w:rsid w:val="006537A6"/>
    <w:rsid w:val="00667546"/>
    <w:rsid w:val="006724FF"/>
    <w:rsid w:val="0068144C"/>
    <w:rsid w:val="0068205A"/>
    <w:rsid w:val="006833FD"/>
    <w:rsid w:val="00693BE2"/>
    <w:rsid w:val="006B0EBD"/>
    <w:rsid w:val="006B3023"/>
    <w:rsid w:val="006D77D9"/>
    <w:rsid w:val="006F0110"/>
    <w:rsid w:val="006F2E67"/>
    <w:rsid w:val="0070153B"/>
    <w:rsid w:val="00701637"/>
    <w:rsid w:val="00706723"/>
    <w:rsid w:val="0071350A"/>
    <w:rsid w:val="00723A44"/>
    <w:rsid w:val="00760498"/>
    <w:rsid w:val="00777168"/>
    <w:rsid w:val="00783DDD"/>
    <w:rsid w:val="007927CE"/>
    <w:rsid w:val="0079391A"/>
    <w:rsid w:val="00793CFE"/>
    <w:rsid w:val="007A266D"/>
    <w:rsid w:val="007A399B"/>
    <w:rsid w:val="007C06F7"/>
    <w:rsid w:val="007C565A"/>
    <w:rsid w:val="007E0DCB"/>
    <w:rsid w:val="007E1360"/>
    <w:rsid w:val="007E733A"/>
    <w:rsid w:val="007F4E71"/>
    <w:rsid w:val="007F61FE"/>
    <w:rsid w:val="0081690F"/>
    <w:rsid w:val="00862485"/>
    <w:rsid w:val="00863CBE"/>
    <w:rsid w:val="0087730E"/>
    <w:rsid w:val="008820E1"/>
    <w:rsid w:val="00883310"/>
    <w:rsid w:val="008A0C9D"/>
    <w:rsid w:val="008A7C6E"/>
    <w:rsid w:val="008C11C2"/>
    <w:rsid w:val="008C38AA"/>
    <w:rsid w:val="008C62CF"/>
    <w:rsid w:val="008E64E4"/>
    <w:rsid w:val="00920F4F"/>
    <w:rsid w:val="00926B65"/>
    <w:rsid w:val="0093382E"/>
    <w:rsid w:val="0093420B"/>
    <w:rsid w:val="00946B79"/>
    <w:rsid w:val="00972A65"/>
    <w:rsid w:val="009849DD"/>
    <w:rsid w:val="00991456"/>
    <w:rsid w:val="009939C6"/>
    <w:rsid w:val="00993BEE"/>
    <w:rsid w:val="00994F6F"/>
    <w:rsid w:val="009A3662"/>
    <w:rsid w:val="009B1AFA"/>
    <w:rsid w:val="009B2D48"/>
    <w:rsid w:val="009B5571"/>
    <w:rsid w:val="009C4E8D"/>
    <w:rsid w:val="009D1977"/>
    <w:rsid w:val="009E43E5"/>
    <w:rsid w:val="009F7FF0"/>
    <w:rsid w:val="00A07623"/>
    <w:rsid w:val="00A16446"/>
    <w:rsid w:val="00A3090E"/>
    <w:rsid w:val="00A33778"/>
    <w:rsid w:val="00A421D0"/>
    <w:rsid w:val="00A531E2"/>
    <w:rsid w:val="00A61F6F"/>
    <w:rsid w:val="00A65B48"/>
    <w:rsid w:val="00A73025"/>
    <w:rsid w:val="00A93F02"/>
    <w:rsid w:val="00AA2532"/>
    <w:rsid w:val="00AB53A1"/>
    <w:rsid w:val="00AC429E"/>
    <w:rsid w:val="00AC4B54"/>
    <w:rsid w:val="00AD51BC"/>
    <w:rsid w:val="00AF5797"/>
    <w:rsid w:val="00AF5AC2"/>
    <w:rsid w:val="00B123E3"/>
    <w:rsid w:val="00B30404"/>
    <w:rsid w:val="00B45B89"/>
    <w:rsid w:val="00B579FB"/>
    <w:rsid w:val="00B660D9"/>
    <w:rsid w:val="00B876BD"/>
    <w:rsid w:val="00BB2551"/>
    <w:rsid w:val="00BC02DA"/>
    <w:rsid w:val="00BC26B6"/>
    <w:rsid w:val="00BC287A"/>
    <w:rsid w:val="00BC2BF3"/>
    <w:rsid w:val="00BD3991"/>
    <w:rsid w:val="00BD5126"/>
    <w:rsid w:val="00BE1663"/>
    <w:rsid w:val="00BE2C25"/>
    <w:rsid w:val="00BE7C89"/>
    <w:rsid w:val="00BF52BD"/>
    <w:rsid w:val="00C11AD3"/>
    <w:rsid w:val="00C12A2C"/>
    <w:rsid w:val="00C131C7"/>
    <w:rsid w:val="00C347BB"/>
    <w:rsid w:val="00C420E3"/>
    <w:rsid w:val="00C511BD"/>
    <w:rsid w:val="00C55301"/>
    <w:rsid w:val="00C66A97"/>
    <w:rsid w:val="00C732AD"/>
    <w:rsid w:val="00C8219B"/>
    <w:rsid w:val="00C82A70"/>
    <w:rsid w:val="00C9008A"/>
    <w:rsid w:val="00C906A1"/>
    <w:rsid w:val="00CB4645"/>
    <w:rsid w:val="00CB61D3"/>
    <w:rsid w:val="00CC566C"/>
    <w:rsid w:val="00CC57D3"/>
    <w:rsid w:val="00CE46DF"/>
    <w:rsid w:val="00CF7050"/>
    <w:rsid w:val="00D042F1"/>
    <w:rsid w:val="00D04D18"/>
    <w:rsid w:val="00D213FC"/>
    <w:rsid w:val="00D223F7"/>
    <w:rsid w:val="00D22A50"/>
    <w:rsid w:val="00D22F21"/>
    <w:rsid w:val="00D23755"/>
    <w:rsid w:val="00D23E11"/>
    <w:rsid w:val="00D33DD0"/>
    <w:rsid w:val="00D3713D"/>
    <w:rsid w:val="00D409B1"/>
    <w:rsid w:val="00D40D33"/>
    <w:rsid w:val="00D42CBA"/>
    <w:rsid w:val="00D44424"/>
    <w:rsid w:val="00D53E9E"/>
    <w:rsid w:val="00D570CE"/>
    <w:rsid w:val="00D62AD7"/>
    <w:rsid w:val="00D719D0"/>
    <w:rsid w:val="00D905DB"/>
    <w:rsid w:val="00D90B5D"/>
    <w:rsid w:val="00D91A79"/>
    <w:rsid w:val="00D9560D"/>
    <w:rsid w:val="00D97678"/>
    <w:rsid w:val="00DA1275"/>
    <w:rsid w:val="00DC7E29"/>
    <w:rsid w:val="00DD65F2"/>
    <w:rsid w:val="00DE39E3"/>
    <w:rsid w:val="00DF0747"/>
    <w:rsid w:val="00DF22F5"/>
    <w:rsid w:val="00DF2F35"/>
    <w:rsid w:val="00E34EF0"/>
    <w:rsid w:val="00E3528B"/>
    <w:rsid w:val="00E42D87"/>
    <w:rsid w:val="00E47122"/>
    <w:rsid w:val="00E57960"/>
    <w:rsid w:val="00E6260D"/>
    <w:rsid w:val="00E711B1"/>
    <w:rsid w:val="00E73446"/>
    <w:rsid w:val="00E73E7D"/>
    <w:rsid w:val="00E76881"/>
    <w:rsid w:val="00E91BFB"/>
    <w:rsid w:val="00EA0963"/>
    <w:rsid w:val="00EB0964"/>
    <w:rsid w:val="00EB1656"/>
    <w:rsid w:val="00EC6178"/>
    <w:rsid w:val="00ED5BDE"/>
    <w:rsid w:val="00F13008"/>
    <w:rsid w:val="00F2496E"/>
    <w:rsid w:val="00F355C7"/>
    <w:rsid w:val="00F5489B"/>
    <w:rsid w:val="00F667ED"/>
    <w:rsid w:val="00F9009F"/>
    <w:rsid w:val="00F90845"/>
    <w:rsid w:val="00FA43AC"/>
    <w:rsid w:val="00FA6748"/>
    <w:rsid w:val="00FB62B1"/>
    <w:rsid w:val="00FB731F"/>
    <w:rsid w:val="00FD308A"/>
    <w:rsid w:val="00FE57C3"/>
    <w:rsid w:val="00FE628A"/>
    <w:rsid w:val="00FE753E"/>
    <w:rsid w:val="011434A4"/>
    <w:rsid w:val="014313AE"/>
    <w:rsid w:val="01EC3E90"/>
    <w:rsid w:val="03CC0C05"/>
    <w:rsid w:val="05A137A0"/>
    <w:rsid w:val="05BC1DCB"/>
    <w:rsid w:val="060909A6"/>
    <w:rsid w:val="060F45F1"/>
    <w:rsid w:val="06260797"/>
    <w:rsid w:val="07107E0D"/>
    <w:rsid w:val="078A6045"/>
    <w:rsid w:val="07C92B50"/>
    <w:rsid w:val="07D75D82"/>
    <w:rsid w:val="07F669DC"/>
    <w:rsid w:val="08071A24"/>
    <w:rsid w:val="0B9730BE"/>
    <w:rsid w:val="0D34281B"/>
    <w:rsid w:val="0F7A7A09"/>
    <w:rsid w:val="111927C8"/>
    <w:rsid w:val="115F7F76"/>
    <w:rsid w:val="116003F7"/>
    <w:rsid w:val="12FA4492"/>
    <w:rsid w:val="13AE369B"/>
    <w:rsid w:val="141D5B7F"/>
    <w:rsid w:val="1559776D"/>
    <w:rsid w:val="15B30DC6"/>
    <w:rsid w:val="15C3133C"/>
    <w:rsid w:val="168E3162"/>
    <w:rsid w:val="16D14840"/>
    <w:rsid w:val="181456E7"/>
    <w:rsid w:val="19BE5CBA"/>
    <w:rsid w:val="19EA4D01"/>
    <w:rsid w:val="1A6920CA"/>
    <w:rsid w:val="1A9133CF"/>
    <w:rsid w:val="1AEB31F7"/>
    <w:rsid w:val="1AF37BE5"/>
    <w:rsid w:val="1B544B28"/>
    <w:rsid w:val="1B7F7052"/>
    <w:rsid w:val="1B934AB5"/>
    <w:rsid w:val="1BC31046"/>
    <w:rsid w:val="1BE51C24"/>
    <w:rsid w:val="1C24274C"/>
    <w:rsid w:val="1D541B93"/>
    <w:rsid w:val="1DB44F31"/>
    <w:rsid w:val="1E78648F"/>
    <w:rsid w:val="1EBC3B3D"/>
    <w:rsid w:val="1F047DC4"/>
    <w:rsid w:val="1F2779A5"/>
    <w:rsid w:val="1F792DAF"/>
    <w:rsid w:val="1F982448"/>
    <w:rsid w:val="206B3164"/>
    <w:rsid w:val="20CF6B85"/>
    <w:rsid w:val="213B634D"/>
    <w:rsid w:val="215A09BE"/>
    <w:rsid w:val="21FF14A3"/>
    <w:rsid w:val="22520116"/>
    <w:rsid w:val="22A30143"/>
    <w:rsid w:val="22A4249C"/>
    <w:rsid w:val="23022C86"/>
    <w:rsid w:val="230C3F3A"/>
    <w:rsid w:val="23A518B2"/>
    <w:rsid w:val="24074396"/>
    <w:rsid w:val="24204E9C"/>
    <w:rsid w:val="24832BD7"/>
    <w:rsid w:val="24A328F9"/>
    <w:rsid w:val="24ED67EA"/>
    <w:rsid w:val="24F50DFB"/>
    <w:rsid w:val="258733F6"/>
    <w:rsid w:val="26E31DD3"/>
    <w:rsid w:val="27096DA5"/>
    <w:rsid w:val="27222275"/>
    <w:rsid w:val="275B283A"/>
    <w:rsid w:val="27CD0233"/>
    <w:rsid w:val="284E5E91"/>
    <w:rsid w:val="28937A8C"/>
    <w:rsid w:val="28C57065"/>
    <w:rsid w:val="28C770F6"/>
    <w:rsid w:val="28F5606D"/>
    <w:rsid w:val="2A1100C6"/>
    <w:rsid w:val="2B45743A"/>
    <w:rsid w:val="2C8E1915"/>
    <w:rsid w:val="2D125D8D"/>
    <w:rsid w:val="2E3E22B3"/>
    <w:rsid w:val="2EDD580F"/>
    <w:rsid w:val="2F685A57"/>
    <w:rsid w:val="2FED5EEC"/>
    <w:rsid w:val="304153CF"/>
    <w:rsid w:val="30C154B5"/>
    <w:rsid w:val="30E028E1"/>
    <w:rsid w:val="3142363A"/>
    <w:rsid w:val="31815AF3"/>
    <w:rsid w:val="32867865"/>
    <w:rsid w:val="332B6976"/>
    <w:rsid w:val="3393061E"/>
    <w:rsid w:val="33A45AC9"/>
    <w:rsid w:val="348A654E"/>
    <w:rsid w:val="34FF38FF"/>
    <w:rsid w:val="35EF1C9A"/>
    <w:rsid w:val="35F52289"/>
    <w:rsid w:val="3667175C"/>
    <w:rsid w:val="36FF2C6D"/>
    <w:rsid w:val="38DE012E"/>
    <w:rsid w:val="3A8B2738"/>
    <w:rsid w:val="3AB605BC"/>
    <w:rsid w:val="3ACB0D0D"/>
    <w:rsid w:val="3DDC56F4"/>
    <w:rsid w:val="3DDE45B1"/>
    <w:rsid w:val="3E1C3502"/>
    <w:rsid w:val="3E9E4FF9"/>
    <w:rsid w:val="3FD9166E"/>
    <w:rsid w:val="403C7A85"/>
    <w:rsid w:val="41DE690D"/>
    <w:rsid w:val="425F1A84"/>
    <w:rsid w:val="43002781"/>
    <w:rsid w:val="43386225"/>
    <w:rsid w:val="43394E3A"/>
    <w:rsid w:val="45FE7152"/>
    <w:rsid w:val="470D6864"/>
    <w:rsid w:val="47607D88"/>
    <w:rsid w:val="47E0086D"/>
    <w:rsid w:val="480212E4"/>
    <w:rsid w:val="491E3B82"/>
    <w:rsid w:val="49BD45E1"/>
    <w:rsid w:val="4A05330E"/>
    <w:rsid w:val="4A271F13"/>
    <w:rsid w:val="4A9B19DD"/>
    <w:rsid w:val="4B744305"/>
    <w:rsid w:val="4BF4363A"/>
    <w:rsid w:val="4C9B3C21"/>
    <w:rsid w:val="4DFA2A19"/>
    <w:rsid w:val="4E12358D"/>
    <w:rsid w:val="4F6B3034"/>
    <w:rsid w:val="4FC84E27"/>
    <w:rsid w:val="50B94D10"/>
    <w:rsid w:val="51023978"/>
    <w:rsid w:val="510E0CFA"/>
    <w:rsid w:val="525C5A95"/>
    <w:rsid w:val="52D376D0"/>
    <w:rsid w:val="53715570"/>
    <w:rsid w:val="54913DAC"/>
    <w:rsid w:val="54C4717D"/>
    <w:rsid w:val="54E0682C"/>
    <w:rsid w:val="55DA1B48"/>
    <w:rsid w:val="56414DB1"/>
    <w:rsid w:val="56882F23"/>
    <w:rsid w:val="575925A3"/>
    <w:rsid w:val="581D2BE2"/>
    <w:rsid w:val="584B0697"/>
    <w:rsid w:val="594B0611"/>
    <w:rsid w:val="5963595B"/>
    <w:rsid w:val="5B421396"/>
    <w:rsid w:val="5BC42CC1"/>
    <w:rsid w:val="5BCE2AF0"/>
    <w:rsid w:val="5C7557DB"/>
    <w:rsid w:val="5CF90D64"/>
    <w:rsid w:val="5D20477F"/>
    <w:rsid w:val="5D652D23"/>
    <w:rsid w:val="5DA36927"/>
    <w:rsid w:val="5E30006D"/>
    <w:rsid w:val="5EB160D1"/>
    <w:rsid w:val="5FDB5661"/>
    <w:rsid w:val="60730C88"/>
    <w:rsid w:val="60966616"/>
    <w:rsid w:val="612540C5"/>
    <w:rsid w:val="6295012C"/>
    <w:rsid w:val="62A212A2"/>
    <w:rsid w:val="62FC0873"/>
    <w:rsid w:val="63425764"/>
    <w:rsid w:val="651925F1"/>
    <w:rsid w:val="6573410F"/>
    <w:rsid w:val="65DA0729"/>
    <w:rsid w:val="65FE289A"/>
    <w:rsid w:val="665449A4"/>
    <w:rsid w:val="66772075"/>
    <w:rsid w:val="668A09CB"/>
    <w:rsid w:val="67591C5B"/>
    <w:rsid w:val="675C1401"/>
    <w:rsid w:val="67F46A97"/>
    <w:rsid w:val="67F80D9E"/>
    <w:rsid w:val="68293EC4"/>
    <w:rsid w:val="68956952"/>
    <w:rsid w:val="69D177F8"/>
    <w:rsid w:val="6AB46016"/>
    <w:rsid w:val="6B8F0831"/>
    <w:rsid w:val="6BE14CCA"/>
    <w:rsid w:val="6C4B643E"/>
    <w:rsid w:val="6C960BD5"/>
    <w:rsid w:val="6D6303D9"/>
    <w:rsid w:val="6E9D32B2"/>
    <w:rsid w:val="703C677C"/>
    <w:rsid w:val="70FA4A5A"/>
    <w:rsid w:val="70FF55AB"/>
    <w:rsid w:val="71B42B40"/>
    <w:rsid w:val="71CF5657"/>
    <w:rsid w:val="71DC5E53"/>
    <w:rsid w:val="72296778"/>
    <w:rsid w:val="73700F48"/>
    <w:rsid w:val="739B0B7F"/>
    <w:rsid w:val="7487479C"/>
    <w:rsid w:val="748D503C"/>
    <w:rsid w:val="749B318A"/>
    <w:rsid w:val="74CE2F1D"/>
    <w:rsid w:val="7561323F"/>
    <w:rsid w:val="75671CEE"/>
    <w:rsid w:val="769C2B02"/>
    <w:rsid w:val="76AD475B"/>
    <w:rsid w:val="772B7FA1"/>
    <w:rsid w:val="775A3E3A"/>
    <w:rsid w:val="77C41863"/>
    <w:rsid w:val="77EB5C21"/>
    <w:rsid w:val="781C5926"/>
    <w:rsid w:val="78AB6682"/>
    <w:rsid w:val="791903FB"/>
    <w:rsid w:val="7988018F"/>
    <w:rsid w:val="79B31CB8"/>
    <w:rsid w:val="79C8563A"/>
    <w:rsid w:val="7A1A3ADE"/>
    <w:rsid w:val="7A2702C2"/>
    <w:rsid w:val="7C2032FD"/>
    <w:rsid w:val="7C2733A5"/>
    <w:rsid w:val="7D307DB8"/>
    <w:rsid w:val="7DA13DC0"/>
    <w:rsid w:val="7DB859C6"/>
    <w:rsid w:val="7E121EB2"/>
    <w:rsid w:val="7E3B222A"/>
    <w:rsid w:val="7E904EA3"/>
    <w:rsid w:val="7ECF3FCA"/>
    <w:rsid w:val="7EE06114"/>
    <w:rsid w:val="7EFC0806"/>
    <w:rsid w:val="7F050659"/>
    <w:rsid w:val="7FA01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Indent"/>
    <w:basedOn w:val="1"/>
    <w:qFormat/>
    <w:uiPriority w:val="0"/>
    <w:pPr>
      <w:spacing w:after="120"/>
      <w:ind w:left="420" w:leftChars="200"/>
    </w:pPr>
    <w:rPr>
      <w:kern w:val="0"/>
      <w:szCs w:val="20"/>
    </w:rPr>
  </w:style>
  <w:style w:type="paragraph" w:styleId="4">
    <w:name w:val="Date"/>
    <w:basedOn w:val="1"/>
    <w:next w:val="1"/>
    <w:link w:val="16"/>
    <w:autoRedefine/>
    <w:qFormat/>
    <w:uiPriority w:val="0"/>
    <w:pPr>
      <w:ind w:left="100" w:leftChars="2500"/>
    </w:pPr>
  </w:style>
  <w:style w:type="paragraph" w:styleId="5">
    <w:name w:val="Body Text Indent 2"/>
    <w:basedOn w:val="1"/>
    <w:autoRedefine/>
    <w:unhideWhenUsed/>
    <w:qFormat/>
    <w:uiPriority w:val="99"/>
    <w:pPr>
      <w:spacing w:after="120" w:line="480" w:lineRule="auto"/>
      <w:ind w:left="420" w:leftChars="200"/>
    </w:pPr>
  </w:style>
  <w:style w:type="paragraph" w:styleId="6">
    <w:name w:val="Balloon Text"/>
    <w:basedOn w:val="1"/>
    <w:link w:val="17"/>
    <w:autoRedefine/>
    <w:qFormat/>
    <w:uiPriority w:val="0"/>
    <w:rPr>
      <w:sz w:val="18"/>
      <w:szCs w:val="18"/>
    </w:rPr>
  </w:style>
  <w:style w:type="paragraph" w:styleId="7">
    <w:name w:val="footer"/>
    <w:basedOn w:val="1"/>
    <w:link w:val="18"/>
    <w:autoRedefine/>
    <w:qFormat/>
    <w:uiPriority w:val="99"/>
    <w:pPr>
      <w:tabs>
        <w:tab w:val="center" w:pos="4153"/>
        <w:tab w:val="right" w:pos="8306"/>
      </w:tabs>
      <w:snapToGrid w:val="0"/>
      <w:jc w:val="left"/>
    </w:pPr>
    <w:rPr>
      <w:sz w:val="18"/>
      <w:szCs w:val="18"/>
    </w:rPr>
  </w:style>
  <w:style w:type="paragraph" w:styleId="8">
    <w:name w:val="header"/>
    <w:basedOn w:val="1"/>
    <w:link w:val="19"/>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index heading"/>
    <w:basedOn w:val="1"/>
    <w:next w:val="1"/>
    <w:autoRedefine/>
    <w:unhideWhenUsed/>
    <w:qFormat/>
    <w:uiPriority w:val="99"/>
    <w:pPr>
      <w:pBdr>
        <w:top w:val="double" w:color="auto" w:sz="6" w:space="0"/>
        <w:left w:val="double" w:color="auto" w:sz="6" w:space="0"/>
        <w:bottom w:val="double" w:color="auto" w:sz="6" w:space="0"/>
        <w:right w:val="double" w:color="auto" w:sz="6" w:space="0"/>
      </w:pBdr>
      <w:spacing w:before="240" w:after="120"/>
      <w:jc w:val="center"/>
    </w:pPr>
    <w:rPr>
      <w:rFonts w:ascii="Arial" w:hAnsi="Arial" w:cs="Arial"/>
      <w:b/>
      <w:bCs/>
      <w:spacing w:val="-8"/>
      <w:sz w:val="22"/>
      <w:szCs w:val="22"/>
    </w:rPr>
  </w:style>
  <w:style w:type="paragraph" w:styleId="10">
    <w:name w:val="Body Text First Indent 2"/>
    <w:basedOn w:val="3"/>
    <w:unhideWhenUsed/>
    <w:qFormat/>
    <w:uiPriority w:val="0"/>
    <w:pPr>
      <w:ind w:firstLine="420"/>
    </w:pPr>
    <w:rPr>
      <w:kern w:val="2"/>
      <w:sz w:val="21"/>
      <w:szCs w:val="24"/>
    </w:rPr>
  </w:style>
  <w:style w:type="table" w:styleId="12">
    <w:name w:val="Table Grid"/>
    <w:basedOn w:val="11"/>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autoRedefine/>
    <w:qFormat/>
    <w:uiPriority w:val="0"/>
  </w:style>
  <w:style w:type="character" w:styleId="15">
    <w:name w:val="Hyperlink"/>
    <w:basedOn w:val="13"/>
    <w:autoRedefine/>
    <w:qFormat/>
    <w:uiPriority w:val="0"/>
    <w:rPr>
      <w:color w:val="0000FF"/>
      <w:u w:val="single"/>
    </w:rPr>
  </w:style>
  <w:style w:type="character" w:customStyle="1" w:styleId="16">
    <w:name w:val="日期 字符"/>
    <w:link w:val="4"/>
    <w:autoRedefine/>
    <w:qFormat/>
    <w:uiPriority w:val="0"/>
    <w:rPr>
      <w:kern w:val="2"/>
      <w:sz w:val="21"/>
      <w:szCs w:val="24"/>
    </w:rPr>
  </w:style>
  <w:style w:type="character" w:customStyle="1" w:styleId="17">
    <w:name w:val="批注框文本 字符"/>
    <w:link w:val="6"/>
    <w:autoRedefine/>
    <w:qFormat/>
    <w:uiPriority w:val="0"/>
    <w:rPr>
      <w:kern w:val="2"/>
      <w:sz w:val="18"/>
      <w:szCs w:val="18"/>
    </w:rPr>
  </w:style>
  <w:style w:type="character" w:customStyle="1" w:styleId="18">
    <w:name w:val="页脚 字符"/>
    <w:link w:val="7"/>
    <w:autoRedefine/>
    <w:qFormat/>
    <w:uiPriority w:val="99"/>
    <w:rPr>
      <w:kern w:val="2"/>
      <w:sz w:val="18"/>
      <w:szCs w:val="18"/>
    </w:rPr>
  </w:style>
  <w:style w:type="character" w:customStyle="1" w:styleId="19">
    <w:name w:val="页眉 字符"/>
    <w:link w:val="8"/>
    <w:autoRedefine/>
    <w:qFormat/>
    <w:uiPriority w:val="0"/>
    <w:rPr>
      <w:kern w:val="2"/>
      <w:sz w:val="18"/>
      <w:szCs w:val="18"/>
    </w:rPr>
  </w:style>
  <w:style w:type="paragraph" w:customStyle="1" w:styleId="20">
    <w:name w:val="新格式表"/>
    <w:basedOn w:val="1"/>
    <w:autoRedefine/>
    <w:qFormat/>
    <w:uiPriority w:val="0"/>
    <w:pPr>
      <w:adjustRightInd w:val="0"/>
      <w:snapToGrid w:val="0"/>
      <w:spacing w:line="0" w:lineRule="atLeast"/>
      <w:jc w:val="center"/>
    </w:pPr>
    <w:rPr>
      <w:color w:val="000000"/>
      <w:kern w:val="0"/>
      <w:szCs w:val="21"/>
    </w:rPr>
  </w:style>
  <w:style w:type="paragraph" w:styleId="21">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styleId="22">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2164</Words>
  <Characters>2402</Characters>
  <Lines>14</Lines>
  <Paragraphs>3</Paragraphs>
  <TotalTime>3894</TotalTime>
  <ScaleCrop>false</ScaleCrop>
  <LinksUpToDate>false</LinksUpToDate>
  <CharactersWithSpaces>2428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2023-12-05T02:23:00Z</dcterms:created>
  <dc:creator>User</dc:creator>
  <cp:lastModifiedBy>SPJ</cp:lastModifiedBy>
  <cp:lastPrinted>2024-10-24T06:23:13Z</cp:lastPrinted>
  <dcterms:modified xsi:type="dcterms:W3CDTF">2024-10-28T00:38:14Z</dcterms:modified>
  <dc:title>连云港高新区技术产业开发区党工委</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0515DE81CEC04AB1B7BFD19B5B0ECABA_13</vt:lpwstr>
  </property>
</Properties>
</file>