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A00390">
      <w:pPr>
        <w:pStyle w:val="18"/>
        <w:spacing w:line="560" w:lineRule="exact"/>
        <w:jc w:val="both"/>
        <w:rPr>
          <w:color w:val="000000" w:themeColor="text1"/>
          <w14:textFill>
            <w14:solidFill>
              <w14:schemeClr w14:val="tx1"/>
            </w14:solidFill>
          </w14:textFill>
        </w:rPr>
      </w:pPr>
    </w:p>
    <w:p w14:paraId="71CAA23C">
      <w:pPr>
        <w:pStyle w:val="18"/>
        <w:spacing w:line="560" w:lineRule="exact"/>
        <w:jc w:val="both"/>
        <w:rPr>
          <w:color w:val="000000" w:themeColor="text1"/>
          <w14:textFill>
            <w14:solidFill>
              <w14:schemeClr w14:val="tx1"/>
            </w14:solidFill>
          </w14:textFill>
        </w:rPr>
      </w:pPr>
    </w:p>
    <w:p w14:paraId="5EF6DCB9">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ascii="Times New Roman" w:hAnsi="Times New Roman" w:eastAsia="方正小标宋简体" w:cs="Times New Roman"/>
          <w:bCs/>
          <w:color w:val="auto"/>
          <w:spacing w:val="-11"/>
          <w:sz w:val="44"/>
          <w:szCs w:val="44"/>
        </w:rPr>
      </w:pPr>
      <w:r>
        <w:rPr>
          <w:rFonts w:ascii="Times New Roman" w:hAnsi="Times New Roman" w:eastAsia="方正小标宋简体" w:cs="Times New Roman"/>
          <w:bCs/>
          <w:color w:val="auto"/>
          <w:spacing w:val="-11"/>
          <w:sz w:val="44"/>
          <w:szCs w:val="44"/>
        </w:rPr>
        <w:t>关于对</w:t>
      </w:r>
      <w:r>
        <w:rPr>
          <w:rFonts w:hint="eastAsia" w:eastAsia="方正小标宋简体" w:cs="Times New Roman"/>
          <w:bCs/>
          <w:color w:val="auto"/>
          <w:spacing w:val="-11"/>
          <w:sz w:val="44"/>
          <w:szCs w:val="44"/>
          <w:lang w:eastAsia="zh-CN"/>
        </w:rPr>
        <w:t>江苏乾智达新材料有限公司年产11000吨高性能膜材项目生态</w:t>
      </w:r>
      <w:r>
        <w:rPr>
          <w:rFonts w:ascii="Times New Roman" w:hAnsi="Times New Roman" w:eastAsia="方正小标宋简体" w:cs="Times New Roman"/>
          <w:bCs/>
          <w:color w:val="auto"/>
          <w:spacing w:val="-11"/>
          <w:sz w:val="44"/>
          <w:szCs w:val="44"/>
        </w:rPr>
        <w:t>环境影响报告表的批复</w:t>
      </w:r>
    </w:p>
    <w:p w14:paraId="2B387CBB">
      <w:pPr>
        <w:spacing w:line="560" w:lineRule="exact"/>
        <w:jc w:val="right"/>
        <w:rPr>
          <w:color w:val="000000" w:themeColor="text1"/>
          <w:sz w:val="30"/>
          <w:szCs w:val="30"/>
          <w:highlight w:val="none"/>
          <w14:textFill>
            <w14:solidFill>
              <w14:schemeClr w14:val="tx1"/>
            </w14:solidFill>
          </w14:textFill>
        </w:rPr>
      </w:pPr>
      <w:r>
        <w:rPr>
          <w:rFonts w:hint="eastAsia" w:ascii="楷体" w:hAnsi="楷体" w:eastAsia="楷体" w:cs="楷体"/>
          <w:color w:val="000000" w:themeColor="text1"/>
          <w:sz w:val="30"/>
          <w:szCs w:val="30"/>
          <w14:textFill>
            <w14:solidFill>
              <w14:schemeClr w14:val="tx1"/>
            </w14:solidFill>
          </w14:textFill>
        </w:rPr>
        <w:t>连高环表复</w:t>
      </w:r>
      <w:r>
        <w:rPr>
          <w:rFonts w:eastAsia="楷体"/>
          <w:color w:val="000000" w:themeColor="text1"/>
          <w:sz w:val="30"/>
          <w:szCs w:val="30"/>
          <w14:textFill>
            <w14:solidFill>
              <w14:schemeClr w14:val="tx1"/>
            </w14:solidFill>
          </w14:textFill>
        </w:rPr>
        <w:t>〔202</w:t>
      </w:r>
      <w:r>
        <w:rPr>
          <w:rFonts w:hint="eastAsia" w:eastAsia="楷体"/>
          <w:color w:val="000000" w:themeColor="text1"/>
          <w:sz w:val="30"/>
          <w:szCs w:val="30"/>
          <w:highlight w:val="none"/>
          <w:lang w:val="en-US" w:eastAsia="zh-CN"/>
          <w14:textFill>
            <w14:solidFill>
              <w14:schemeClr w14:val="tx1"/>
            </w14:solidFill>
          </w14:textFill>
        </w:rPr>
        <w:t>6</w:t>
      </w:r>
      <w:r>
        <w:rPr>
          <w:rFonts w:eastAsia="楷体"/>
          <w:color w:val="000000" w:themeColor="text1"/>
          <w:sz w:val="30"/>
          <w:szCs w:val="30"/>
          <w:highlight w:val="none"/>
          <w14:textFill>
            <w14:solidFill>
              <w14:schemeClr w14:val="tx1"/>
            </w14:solidFill>
          </w14:textFill>
        </w:rPr>
        <w:t>〕</w:t>
      </w:r>
      <w:r>
        <w:rPr>
          <w:rFonts w:hint="eastAsia" w:eastAsia="楷体"/>
          <w:color w:val="000000" w:themeColor="text1"/>
          <w:sz w:val="30"/>
          <w:szCs w:val="30"/>
          <w:highlight w:val="none"/>
          <w:lang w:val="en-US" w:eastAsia="zh-CN"/>
          <w14:textFill>
            <w14:solidFill>
              <w14:schemeClr w14:val="tx1"/>
            </w14:solidFill>
          </w14:textFill>
        </w:rPr>
        <w:t>17</w:t>
      </w:r>
      <w:r>
        <w:rPr>
          <w:rFonts w:eastAsia="楷体"/>
          <w:color w:val="000000" w:themeColor="text1"/>
          <w:sz w:val="30"/>
          <w:szCs w:val="30"/>
          <w:highlight w:val="none"/>
          <w14:textFill>
            <w14:solidFill>
              <w14:schemeClr w14:val="tx1"/>
            </w14:solidFill>
          </w14:textFill>
        </w:rPr>
        <w:t>号</w:t>
      </w:r>
    </w:p>
    <w:p w14:paraId="2D84E585">
      <w:pPr>
        <w:adjustRightInd w:val="0"/>
        <w:spacing w:line="560" w:lineRule="exact"/>
        <w:ind w:firstLine="640" w:firstLineChars="200"/>
        <w:rPr>
          <w:rFonts w:eastAsia="仿宋_GB2312"/>
          <w:color w:val="000000" w:themeColor="text1"/>
          <w:sz w:val="32"/>
          <w:szCs w:val="32"/>
          <w14:textFill>
            <w14:solidFill>
              <w14:schemeClr w14:val="tx1"/>
            </w14:solidFill>
          </w14:textFill>
        </w:rPr>
      </w:pPr>
    </w:p>
    <w:p w14:paraId="6D1F92B8">
      <w:pPr>
        <w:keepNext w:val="0"/>
        <w:keepLines w:val="0"/>
        <w:pageBreakBefore w:val="0"/>
        <w:kinsoku/>
        <w:overflowPunct/>
        <w:topLinePunct w:val="0"/>
        <w:autoSpaceDE/>
        <w:autoSpaceDN/>
        <w:bidi w:val="0"/>
        <w:adjustRightInd w:val="0"/>
        <w:snapToGrid w:val="0"/>
        <w:spacing w:line="560" w:lineRule="exact"/>
        <w:textAlignment w:val="auto"/>
        <w:rPr>
          <w:rFonts w:eastAsia="仿宋_GB2312"/>
          <w:color w:val="000000" w:themeColor="text1"/>
          <w:sz w:val="32"/>
          <w:szCs w:val="32"/>
          <w14:textFill>
            <w14:solidFill>
              <w14:schemeClr w14:val="tx1"/>
            </w14:solidFill>
          </w14:textFill>
        </w:rPr>
      </w:pPr>
      <w:r>
        <w:rPr>
          <w:rFonts w:hint="eastAsia" w:eastAsia="仿宋_GB2312"/>
          <w:bCs/>
          <w:color w:val="000000" w:themeColor="text1"/>
          <w:sz w:val="32"/>
          <w:szCs w:val="32"/>
          <w:lang w:eastAsia="zh-CN"/>
          <w14:textFill>
            <w14:solidFill>
              <w14:schemeClr w14:val="tx1"/>
            </w14:solidFill>
          </w14:textFill>
        </w:rPr>
        <w:t>江苏乾智达新材料有限公司</w:t>
      </w:r>
      <w:r>
        <w:rPr>
          <w:rFonts w:hint="eastAsia" w:eastAsia="仿宋_GB2312"/>
          <w:color w:val="000000" w:themeColor="text1"/>
          <w:sz w:val="32"/>
          <w:szCs w:val="32"/>
          <w14:textFill>
            <w14:solidFill>
              <w14:schemeClr w14:val="tx1"/>
            </w14:solidFill>
          </w14:textFill>
        </w:rPr>
        <w:t>：</w:t>
      </w:r>
    </w:p>
    <w:p w14:paraId="2BD684E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你</w:t>
      </w:r>
      <w:r>
        <w:rPr>
          <w:rFonts w:hint="eastAsia" w:eastAsia="仿宋_GB2312"/>
          <w:color w:val="000000" w:themeColor="text1"/>
          <w:sz w:val="32"/>
          <w:szCs w:val="32"/>
          <w14:textFill>
            <w14:solidFill>
              <w14:schemeClr w14:val="tx1"/>
            </w14:solidFill>
          </w14:textFill>
        </w:rPr>
        <w:t>公司</w:t>
      </w:r>
      <w:r>
        <w:rPr>
          <w:rFonts w:eastAsia="仿宋_GB2312"/>
          <w:color w:val="000000" w:themeColor="text1"/>
          <w:sz w:val="32"/>
          <w:szCs w:val="32"/>
          <w14:textFill>
            <w14:solidFill>
              <w14:schemeClr w14:val="tx1"/>
            </w14:solidFill>
          </w14:textFill>
        </w:rPr>
        <w:t>委托</w:t>
      </w:r>
      <w:r>
        <w:rPr>
          <w:rFonts w:hint="eastAsia" w:eastAsia="仿宋_GB2312"/>
          <w:color w:val="000000" w:themeColor="text1"/>
          <w:sz w:val="32"/>
          <w:szCs w:val="32"/>
          <w:lang w:eastAsia="zh-CN"/>
          <w14:textFill>
            <w14:solidFill>
              <w14:schemeClr w14:val="tx1"/>
            </w14:solidFill>
          </w14:textFill>
        </w:rPr>
        <w:t>江苏仁环安全环保科技有限公司</w:t>
      </w:r>
      <w:r>
        <w:rPr>
          <w:rFonts w:eastAsia="仿宋_GB2312"/>
          <w:color w:val="000000" w:themeColor="text1"/>
          <w:sz w:val="32"/>
          <w:szCs w:val="32"/>
          <w14:textFill>
            <w14:solidFill>
              <w14:schemeClr w14:val="tx1"/>
            </w14:solidFill>
          </w14:textFill>
        </w:rPr>
        <w:t>编制的《</w:t>
      </w:r>
      <w:r>
        <w:rPr>
          <w:rFonts w:hint="eastAsia" w:eastAsia="仿宋_GB2312"/>
          <w:bCs/>
          <w:color w:val="000000" w:themeColor="text1"/>
          <w:sz w:val="32"/>
          <w:szCs w:val="32"/>
          <w:lang w:eastAsia="zh-CN"/>
          <w14:textFill>
            <w14:solidFill>
              <w14:schemeClr w14:val="tx1"/>
            </w14:solidFill>
          </w14:textFill>
        </w:rPr>
        <w:t>年产11000吨高性能膜材项目生态</w:t>
      </w:r>
      <w:r>
        <w:rPr>
          <w:rFonts w:hint="eastAsia" w:eastAsia="仿宋_GB2312"/>
          <w:bCs/>
          <w:color w:val="000000" w:themeColor="text1"/>
          <w:sz w:val="32"/>
          <w:szCs w:val="32"/>
          <w14:textFill>
            <w14:solidFill>
              <w14:schemeClr w14:val="tx1"/>
            </w14:solidFill>
          </w14:textFill>
        </w:rPr>
        <w:t>环境影响报告表</w:t>
      </w:r>
      <w:r>
        <w:rPr>
          <w:rFonts w:eastAsia="仿宋_GB2312"/>
          <w:color w:val="000000" w:themeColor="text1"/>
          <w:sz w:val="32"/>
          <w:szCs w:val="32"/>
          <w14:textFill>
            <w14:solidFill>
              <w14:schemeClr w14:val="tx1"/>
            </w14:solidFill>
          </w14:textFill>
        </w:rPr>
        <w:t>》（以下简称《报告表》）收悉</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经研究</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批复如下：</w:t>
      </w:r>
    </w:p>
    <w:p w14:paraId="16069C51">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eastAsia="仿宋_GB2312"/>
          <w:color w:val="000000" w:themeColor="text1"/>
          <w:sz w:val="32"/>
          <w:szCs w:val="32"/>
          <w:highlight w:val="none"/>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一、</w:t>
      </w:r>
      <w:r>
        <w:rPr>
          <w:rFonts w:hint="eastAsia" w:eastAsia="仿宋_GB2312"/>
          <w:color w:val="000000" w:themeColor="text1"/>
          <w:sz w:val="32"/>
          <w:szCs w:val="32"/>
          <w:highlight w:val="none"/>
          <w14:textFill>
            <w14:solidFill>
              <w14:schemeClr w14:val="tx1"/>
            </w14:solidFill>
          </w14:textFill>
        </w:rPr>
        <w:t>项目位于连云港高新技术产业开发区海州工业园郁洲南路22号，租用现有5400平方米厂房，</w:t>
      </w:r>
      <w:r>
        <w:rPr>
          <w:rFonts w:hint="eastAsia" w:eastAsia="仿宋_GB2312"/>
          <w:color w:val="000000" w:themeColor="text1"/>
          <w:sz w:val="32"/>
          <w:szCs w:val="32"/>
          <w:highlight w:val="none"/>
          <w:lang w:eastAsia="zh-CN"/>
          <w14:textFill>
            <w14:solidFill>
              <w14:schemeClr w14:val="tx1"/>
            </w14:solidFill>
          </w14:textFill>
        </w:rPr>
        <w:t>总</w:t>
      </w:r>
      <w:r>
        <w:rPr>
          <w:rFonts w:hint="eastAsia" w:eastAsia="仿宋_GB2312"/>
          <w:color w:val="000000" w:themeColor="text1"/>
          <w:sz w:val="32"/>
          <w:szCs w:val="32"/>
          <w:highlight w:val="none"/>
          <w14:textFill>
            <w14:solidFill>
              <w14:schemeClr w14:val="tx1"/>
            </w14:solidFill>
          </w14:textFill>
        </w:rPr>
        <w:t>投资4000万元，</w:t>
      </w:r>
      <w:r>
        <w:rPr>
          <w:rFonts w:hint="eastAsia" w:eastAsia="仿宋_GB2312"/>
          <w:color w:val="000000" w:themeColor="text1"/>
          <w:sz w:val="32"/>
          <w:szCs w:val="32"/>
          <w:highlight w:val="none"/>
          <w:lang w:eastAsia="zh-CN"/>
          <w14:textFill>
            <w14:solidFill>
              <w14:schemeClr w14:val="tx1"/>
            </w14:solidFill>
          </w14:textFill>
        </w:rPr>
        <w:t>建设</w:t>
      </w:r>
      <w:r>
        <w:rPr>
          <w:rFonts w:hint="eastAsia" w:eastAsia="仿宋_GB2312"/>
          <w:color w:val="000000" w:themeColor="text1"/>
          <w:sz w:val="32"/>
          <w:szCs w:val="32"/>
          <w:highlight w:val="none"/>
          <w14:textFill>
            <w14:solidFill>
              <w14:schemeClr w14:val="tx1"/>
            </w14:solidFill>
          </w14:textFill>
        </w:rPr>
        <w:t>1条共挤吹膜生产线、9条制袋生产线、1条分切生产线、1条压花生产线生产高性能膜材。项目建成后可形成年产11000吨高性能膜材的生产能力。项目代码：2608-320772-89-03-318285。</w:t>
      </w:r>
    </w:p>
    <w:p w14:paraId="51FAB85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14:textFill>
            <w14:solidFill>
              <w14:schemeClr w14:val="tx1"/>
            </w14:solidFill>
          </w14:textFill>
        </w:rPr>
      </w:pPr>
      <w:r>
        <w:rPr>
          <w:rFonts w:eastAsia="仿宋_GB2312"/>
          <w:b w:val="0"/>
          <w:color w:val="auto"/>
          <w:sz w:val="32"/>
        </w:rPr>
        <w:t>项目实施将对周边环境产生一定不利影响，在全面落实《报告表》和本批复提出的生态环境保护措施后，不利生态影响能够得到减缓和控制。</w:t>
      </w:r>
      <w:r>
        <w:rPr>
          <w:rFonts w:hint="eastAsia" w:eastAsia="仿宋_GB2312"/>
          <w:b w:val="0"/>
          <w:color w:val="auto"/>
          <w:sz w:val="32"/>
          <w:lang w:val="en-US" w:eastAsia="zh-CN"/>
        </w:rPr>
        <w:t>原</w:t>
      </w:r>
      <w:r>
        <w:rPr>
          <w:rFonts w:eastAsia="仿宋_GB2312"/>
          <w:b w:val="0"/>
          <w:color w:val="auto"/>
          <w:sz w:val="32"/>
        </w:rPr>
        <w:t>则同意《报告表》的环境影响评价总体结论和拟采取的生态环境保护措施。</w:t>
      </w:r>
    </w:p>
    <w:p w14:paraId="13899A3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lang w:eastAsia="zh-CN"/>
          <w14:textFill>
            <w14:solidFill>
              <w14:schemeClr w14:val="tx1"/>
            </w14:solidFill>
          </w14:textFill>
        </w:rPr>
        <w:t>二</w:t>
      </w:r>
      <w:r>
        <w:rPr>
          <w:rFonts w:eastAsia="仿宋_GB2312"/>
          <w:color w:val="000000" w:themeColor="text1"/>
          <w:sz w:val="32"/>
          <w:szCs w:val="32"/>
          <w14:textFill>
            <w14:solidFill>
              <w14:schemeClr w14:val="tx1"/>
            </w14:solidFill>
          </w14:textFill>
        </w:rPr>
        <w:t>、在项目工程设计、建设和环境管理中</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你</w:t>
      </w:r>
      <w:r>
        <w:rPr>
          <w:rFonts w:hint="eastAsia" w:eastAsia="仿宋_GB2312"/>
          <w:color w:val="000000" w:themeColor="text1"/>
          <w:sz w:val="32"/>
          <w:szCs w:val="32"/>
          <w14:textFill>
            <w14:solidFill>
              <w14:schemeClr w14:val="tx1"/>
            </w14:solidFill>
          </w14:textFill>
        </w:rPr>
        <w:t>公司</w:t>
      </w:r>
      <w:r>
        <w:rPr>
          <w:rFonts w:eastAsia="仿宋_GB2312"/>
          <w:color w:val="000000" w:themeColor="text1"/>
          <w:sz w:val="32"/>
          <w:szCs w:val="32"/>
          <w14:textFill>
            <w14:solidFill>
              <w14:schemeClr w14:val="tx1"/>
            </w14:solidFill>
          </w14:textFill>
        </w:rPr>
        <w:t>须</w:t>
      </w:r>
      <w:r>
        <w:rPr>
          <w:rFonts w:hint="eastAsia" w:eastAsia="仿宋_GB2312"/>
          <w:color w:val="000000" w:themeColor="text1"/>
          <w:sz w:val="32"/>
          <w:szCs w:val="32"/>
          <w14:textFill>
            <w14:solidFill>
              <w14:schemeClr w14:val="tx1"/>
            </w14:solidFill>
          </w14:textFill>
        </w:rPr>
        <w:t>全过程贯彻清洁生产理念</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落实《报告表》中提出的</w:t>
      </w:r>
      <w:r>
        <w:rPr>
          <w:rFonts w:hint="eastAsia" w:eastAsia="仿宋_GB2312"/>
          <w:color w:val="000000" w:themeColor="text1"/>
          <w:sz w:val="32"/>
          <w:szCs w:val="32"/>
          <w14:textFill>
            <w14:solidFill>
              <w14:schemeClr w14:val="tx1"/>
            </w14:solidFill>
          </w14:textFill>
        </w:rPr>
        <w:t>各项污染防治措施要求</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严格执行环保“三同时”制度</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确保各类污染物稳定达标排放</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并</w:t>
      </w:r>
      <w:r>
        <w:rPr>
          <w:rFonts w:hint="eastAsia" w:eastAsia="仿宋_GB2312"/>
          <w:color w:val="000000" w:themeColor="text1"/>
          <w:sz w:val="32"/>
          <w:szCs w:val="32"/>
          <w14:textFill>
            <w14:solidFill>
              <w14:schemeClr w14:val="tx1"/>
            </w14:solidFill>
          </w14:textFill>
        </w:rPr>
        <w:t>在项目建设及运营期间重点</w:t>
      </w:r>
      <w:r>
        <w:rPr>
          <w:rFonts w:eastAsia="仿宋_GB2312"/>
          <w:color w:val="000000" w:themeColor="text1"/>
          <w:sz w:val="32"/>
          <w:szCs w:val="32"/>
          <w14:textFill>
            <w14:solidFill>
              <w14:schemeClr w14:val="tx1"/>
            </w14:solidFill>
          </w14:textFill>
        </w:rPr>
        <w:t>落实以下</w:t>
      </w:r>
      <w:r>
        <w:rPr>
          <w:rFonts w:hint="eastAsia" w:eastAsia="仿宋_GB2312"/>
          <w:color w:val="000000" w:themeColor="text1"/>
          <w:sz w:val="32"/>
          <w:szCs w:val="32"/>
          <w14:textFill>
            <w14:solidFill>
              <w14:schemeClr w14:val="tx1"/>
            </w14:solidFill>
          </w14:textFill>
        </w:rPr>
        <w:t>要求</w:t>
      </w:r>
      <w:r>
        <w:rPr>
          <w:rFonts w:eastAsia="仿宋_GB2312"/>
          <w:color w:val="000000" w:themeColor="text1"/>
          <w:sz w:val="32"/>
          <w:szCs w:val="32"/>
          <w14:textFill>
            <w14:solidFill>
              <w14:schemeClr w14:val="tx1"/>
            </w14:solidFill>
          </w14:textFill>
        </w:rPr>
        <w:t>：</w:t>
      </w:r>
    </w:p>
    <w:p w14:paraId="4C58341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eastAsia="仿宋_GB2312"/>
          <w:color w:val="000000" w:themeColor="text1"/>
          <w:sz w:val="32"/>
          <w:szCs w:val="32"/>
          <w:lang w:val="en-US" w:eastAsia="zh-CN"/>
          <w14:textFill>
            <w14:solidFill>
              <w14:schemeClr w14:val="tx1"/>
            </w14:solidFill>
          </w14:textFill>
        </w:rPr>
      </w:pPr>
      <w:r>
        <w:rPr>
          <w:rFonts w:hint="eastAsia" w:eastAsia="仿宋_GB2312"/>
          <w:color w:val="000000" w:themeColor="text1"/>
          <w:sz w:val="32"/>
          <w:szCs w:val="32"/>
          <w:lang w:eastAsia="zh-CN"/>
          <w14:textFill>
            <w14:solidFill>
              <w14:schemeClr w14:val="tx1"/>
            </w14:solidFill>
          </w14:textFill>
        </w:rPr>
        <w:t>（一）严格落实大气污染防治措施，确保各类废气达标排放。项目产生的废气主要包括制袋、压花、吹膜、冷却工序产生的有机废气（以非甲烷总烃计）及异味（以臭气浓度为表征）。废气经负压顶吸集气罩收集进“干式过滤器+蜂窝活性炭吸附浓缩+催化燃烧装置”处理达标后，一起通过</w:t>
      </w:r>
      <w:r>
        <w:rPr>
          <w:rFonts w:hint="eastAsia" w:eastAsia="仿宋_GB2312"/>
          <w:color w:val="000000" w:themeColor="text1"/>
          <w:sz w:val="32"/>
          <w:szCs w:val="32"/>
          <w:lang w:val="en-US" w:eastAsia="zh-CN"/>
          <w14:textFill>
            <w14:solidFill>
              <w14:schemeClr w14:val="tx1"/>
            </w14:solidFill>
          </w14:textFill>
        </w:rPr>
        <w:t>1</w:t>
      </w:r>
      <w:r>
        <w:rPr>
          <w:rFonts w:hint="eastAsia" w:eastAsia="仿宋_GB2312"/>
          <w:color w:val="000000" w:themeColor="text1"/>
          <w:sz w:val="32"/>
          <w:szCs w:val="32"/>
          <w:lang w:eastAsia="zh-CN"/>
          <w14:textFill>
            <w14:solidFill>
              <w14:schemeClr w14:val="tx1"/>
            </w14:solidFill>
          </w14:textFill>
        </w:rPr>
        <w:t>5m高排气筒（DA001）排放。非甲烷总烃有组织排放浓度执行《合成树脂工业污染物排放标准》（GB31572-2015）表5标准，臭气浓度执行《恶臭污染物排放标准》（GB14554-93）中表2相关标准限值。</w:t>
      </w:r>
    </w:p>
    <w:p w14:paraId="7D9D53B9">
      <w:pPr>
        <w:spacing w:line="500" w:lineRule="exact"/>
        <w:ind w:firstLine="640" w:firstLineChars="200"/>
        <w:rPr>
          <w:rFonts w:hint="eastAsia" w:eastAsia="仿宋_GB2312"/>
          <w:color w:val="000000" w:themeColor="text1"/>
          <w:sz w:val="32"/>
          <w:szCs w:val="32"/>
          <w:lang w:val="en-US" w:eastAsia="zh-CN"/>
          <w14:textFill>
            <w14:solidFill>
              <w14:schemeClr w14:val="tx1"/>
            </w14:solidFill>
          </w14:textFill>
        </w:rPr>
      </w:pPr>
      <w:r>
        <w:rPr>
          <w:rFonts w:hint="eastAsia" w:eastAsia="仿宋_GB2312"/>
          <w:color w:val="000000" w:themeColor="text1"/>
          <w:sz w:val="32"/>
          <w:szCs w:val="32"/>
          <w:lang w:eastAsia="zh-CN"/>
          <w14:textFill>
            <w14:solidFill>
              <w14:schemeClr w14:val="tx1"/>
            </w14:solidFill>
          </w14:textFill>
        </w:rPr>
        <w:t>各工序未被捕集的废气及异味无组织排放，通过加强废气收集效率、车间密闭等措施降低无组织废气造成的影响。非甲烷总烃厂界无组织排放执行《合成树脂工业污染物排放标准》（GB31572-2015）中表9标准限值，厂区内无组织排放执行江苏省地方标准《大气污染物综合排放标准》（DB32/4041-2021）中表2标准限值</w:t>
      </w:r>
      <w:r>
        <w:rPr>
          <w:rFonts w:hint="eastAsia" w:eastAsia="仿宋_GB2312"/>
          <w:color w:val="000000" w:themeColor="text1"/>
          <w:sz w:val="32"/>
          <w:szCs w:val="32"/>
          <w:lang w:val="en-US" w:eastAsia="zh-CN"/>
          <w14:textFill>
            <w14:solidFill>
              <w14:schemeClr w14:val="tx1"/>
            </w14:solidFill>
          </w14:textFill>
        </w:rPr>
        <w:t>。</w:t>
      </w:r>
      <w:r>
        <w:rPr>
          <w:rFonts w:hint="eastAsia" w:eastAsia="仿宋_GB2312"/>
          <w:color w:val="000000" w:themeColor="text1"/>
          <w:sz w:val="32"/>
          <w:szCs w:val="32"/>
          <w:lang w:eastAsia="zh-CN"/>
          <w14:textFill>
            <w14:solidFill>
              <w14:schemeClr w14:val="tx1"/>
            </w14:solidFill>
          </w14:textFill>
        </w:rPr>
        <w:t>臭气浓度厂界无组织排放执行《恶臭污染物排放标准》（GB14554-93）中表1相关标准限值。</w:t>
      </w:r>
    </w:p>
    <w:p w14:paraId="09397A13">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（二）</w:t>
      </w:r>
      <w:r>
        <w:rPr>
          <w:rFonts w:hint="eastAsia" w:eastAsia="仿宋_GB2312"/>
          <w:color w:val="000000" w:themeColor="text1"/>
          <w:sz w:val="32"/>
          <w:szCs w:val="32"/>
          <w:lang w:eastAsia="zh-CN"/>
          <w14:textFill>
            <w14:solidFill>
              <w14:schemeClr w14:val="tx1"/>
            </w14:solidFill>
          </w14:textFill>
        </w:rPr>
        <w:t>严格落实各项水污染防治措</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施。项目产生的废水主要</w:t>
      </w:r>
      <w:r>
        <w:rPr>
          <w:rFonts w:hint="eastAsia" w:eastAsia="仿宋_GB2312" w:cs="Times New Roman"/>
          <w:color w:val="000000" w:themeColor="text1"/>
          <w:sz w:val="32"/>
          <w:szCs w:val="32"/>
          <w:lang w:eastAsia="zh-CN"/>
          <w14:textFill>
            <w14:solidFill>
              <w14:schemeClr w14:val="tx1"/>
            </w14:solidFill>
          </w14:textFill>
        </w:rPr>
        <w:t>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生活污水。生活污水经化粪池处理后接入南城污水处理厂深度处理。废水排放浓度应满足连云港市南城污水处理厂进水水质标准</w:t>
      </w:r>
      <w:r>
        <w:rPr>
          <w:rFonts w:hint="eastAsia" w:eastAsia="仿宋_GB2312" w:cs="Times New Roman"/>
          <w:color w:val="000000" w:themeColor="text1"/>
          <w:sz w:val="32"/>
          <w:szCs w:val="32"/>
          <w:lang w:eastAsia="zh-CN"/>
          <w14:textFill>
            <w14:solidFill>
              <w14:schemeClr w14:val="tx1"/>
            </w14:solidFill>
          </w14:textFill>
        </w:rPr>
        <w:t>要求</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p>
    <w:p w14:paraId="4CED641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eastAsia="仿宋_GB2312"/>
          <w:color w:val="000000" w:themeColor="text1"/>
          <w:sz w:val="32"/>
          <w:szCs w:val="32"/>
          <w:highlight w:val="none"/>
          <w:lang w:eastAsia="zh-CN"/>
          <w14:textFill>
            <w14:solidFill>
              <w14:schemeClr w14:val="tx1"/>
            </w14:solidFill>
          </w14:textFill>
        </w:rPr>
        <w:t>（</w:t>
      </w:r>
      <w:r>
        <w:rPr>
          <w:rFonts w:hint="eastAsia" w:eastAsia="仿宋_GB2312"/>
          <w:color w:val="000000" w:themeColor="text1"/>
          <w:sz w:val="32"/>
          <w:szCs w:val="32"/>
          <w:highlight w:val="none"/>
          <w:lang w:val="en-US" w:eastAsia="zh-CN"/>
          <w14:textFill>
            <w14:solidFill>
              <w14:schemeClr w14:val="tx1"/>
            </w14:solidFill>
          </w14:textFill>
        </w:rPr>
        <w:t>三）</w:t>
      </w:r>
      <w:r>
        <w:rPr>
          <w:rFonts w:hint="eastAsia" w:eastAsia="仿宋_GB2312"/>
          <w:color w:val="000000" w:themeColor="text1"/>
          <w:sz w:val="32"/>
          <w:szCs w:val="32"/>
          <w:highlight w:val="none"/>
          <w:lang w:eastAsia="zh-CN"/>
          <w14:textFill>
            <w14:solidFill>
              <w14:schemeClr w14:val="tx1"/>
            </w14:solidFill>
          </w14:textFill>
        </w:rPr>
        <w:t>严格落实</w:t>
      </w:r>
      <w:r>
        <w:rPr>
          <w:rFonts w:hint="eastAsia" w:eastAsia="仿宋_GB2312"/>
          <w:color w:val="000000" w:themeColor="text1"/>
          <w:sz w:val="32"/>
          <w:szCs w:val="32"/>
          <w:highlight w:val="none"/>
          <w:lang w:val="en-US" w:eastAsia="zh-CN"/>
          <w14:textFill>
            <w14:solidFill>
              <w14:schemeClr w14:val="tx1"/>
            </w14:solidFill>
          </w14:textFill>
        </w:rPr>
        <w:t>报告提出的</w:t>
      </w:r>
      <w:r>
        <w:rPr>
          <w:rFonts w:hint="eastAsia" w:eastAsia="仿宋_GB2312"/>
          <w:color w:val="000000" w:themeColor="text1"/>
          <w:sz w:val="32"/>
          <w:szCs w:val="32"/>
          <w:highlight w:val="none"/>
          <w:lang w:eastAsia="zh-CN"/>
          <w14:textFill>
            <w14:solidFill>
              <w14:schemeClr w14:val="tx1"/>
            </w14:solidFill>
          </w14:textFill>
        </w:rPr>
        <w:t>减振等源头降噪措施，辅以厂房隔声、距离衰减、加</w:t>
      </w:r>
      <w:r>
        <w:rPr>
          <w:rFonts w:hint="eastAsia" w:eastAsia="仿宋_GB2312"/>
          <w:color w:val="000000" w:themeColor="text1"/>
          <w:sz w:val="32"/>
          <w:szCs w:val="32"/>
          <w:highlight w:val="none"/>
          <w:lang w:val="en-US" w:eastAsia="zh-CN"/>
          <w14:textFill>
            <w14:solidFill>
              <w14:schemeClr w14:val="tx1"/>
            </w14:solidFill>
          </w14:textFill>
        </w:rPr>
        <w:t>强管理等措施。厂界噪声应满足《工业企业厂界环境噪</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声排放标准》（GB12348-2008）</w:t>
      </w:r>
      <w:r>
        <w:rPr>
          <w:rFonts w:hint="eastAsia" w:eastAsia="仿宋_GB2312" w:cs="Times New Roman"/>
          <w:color w:val="000000" w:themeColor="text1"/>
          <w:sz w:val="32"/>
          <w:szCs w:val="32"/>
          <w:highlight w:val="none"/>
          <w:lang w:val="en-US" w:eastAsia="zh-CN"/>
          <w14:textFill>
            <w14:solidFill>
              <w14:schemeClr w14:val="tx1"/>
            </w14:solidFill>
          </w14:textFill>
        </w:rPr>
        <w:t>3</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类标准要求。</w:t>
      </w:r>
    </w:p>
    <w:p w14:paraId="5DE24C4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eastAsia="仿宋_GB2312"/>
          <w:color w:val="000000" w:themeColor="text1"/>
          <w:sz w:val="32"/>
          <w:szCs w:val="32"/>
          <w:highlight w:val="none"/>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四</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）严格落实固体废物污染防治措施。按“</w:t>
      </w:r>
      <w:r>
        <w:rPr>
          <w:rFonts w:hint="eastAsia" w:eastAsia="仿宋_GB2312" w:cs="Times New Roman"/>
          <w:color w:val="000000" w:themeColor="text1"/>
          <w:sz w:val="32"/>
          <w:szCs w:val="32"/>
          <w:highlight w:val="none"/>
          <w:lang w:eastAsia="zh-CN"/>
          <w14:textFill>
            <w14:solidFill>
              <w14:schemeClr w14:val="tx1"/>
            </w14:solidFill>
          </w14:textFill>
        </w:rPr>
        <w:t>减量化、资源化、无害化</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”的处置原则，落实固体废物的收集、贮存和处置措施。本项目产生的固废主要</w:t>
      </w:r>
      <w:bookmarkStart w:id="0" w:name="_Hlk207472906"/>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废塑料膜、废边角料、不合格品、废包装材料、废过滤材料、废活性炭、废催化剂、废机油、废油桶、废劳保用品、含油抹布及生活垃圾</w:t>
      </w:r>
      <w:bookmarkEnd w:id="0"/>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。其中一般工业固废中的废塑料膜、废边角料、不合格品收集后委托相关单位进行综合利用，废包装材料回收后出售；产生的危险废物废过滤材料、废活性炭、废催化剂、废机油</w:t>
      </w:r>
      <w:r>
        <w:rPr>
          <w:rFonts w:hint="eastAsia" w:eastAsia="仿宋_GB2312" w:cs="Times New Roman"/>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废油桶、废劳保用品、含油抹布经收集后暂存厂区危废仓库并且定期委托相关资质单位处置；生活垃圾由环卫部门统一清运。</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项目设置</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1座40m</w:t>
      </w:r>
      <w:r>
        <w:rPr>
          <w:rFonts w:hint="eastAsia" w:ascii="Times New Roman" w:hAnsi="Times New Roman" w:eastAsia="仿宋_GB2312" w:cs="Times New Roman"/>
          <w:color w:val="000000" w:themeColor="text1"/>
          <w:sz w:val="32"/>
          <w:szCs w:val="32"/>
          <w:highlight w:val="none"/>
          <w:vertAlign w:val="superscript"/>
          <w:lang w:eastAsia="zh-CN"/>
          <w14:textFill>
            <w14:solidFill>
              <w14:schemeClr w14:val="tx1"/>
            </w14:solidFill>
          </w14:textFill>
        </w:rPr>
        <w:t>2</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一般固废暂存</w:t>
      </w:r>
      <w:r>
        <w:rPr>
          <w:rFonts w:hint="eastAsia" w:eastAsia="仿宋"/>
          <w:bCs/>
          <w:sz w:val="30"/>
          <w:szCs w:val="30"/>
        </w:rPr>
        <w:t>间以及</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一个5</w:t>
      </w:r>
      <w:r>
        <w:rPr>
          <w:rFonts w:hint="eastAsia" w:eastAsia="仿宋_GB2312"/>
          <w:color w:val="000000" w:themeColor="text1"/>
          <w:sz w:val="32"/>
          <w:szCs w:val="32"/>
          <w:highlight w:val="none"/>
          <w:lang w:eastAsia="zh-CN"/>
          <w14:textFill>
            <w14:solidFill>
              <w14:schemeClr w14:val="tx1"/>
            </w14:solidFill>
          </w14:textFill>
        </w:rPr>
        <w:t>m</w:t>
      </w:r>
      <w:r>
        <w:rPr>
          <w:rFonts w:hint="eastAsia" w:eastAsia="仿宋_GB2312"/>
          <w:color w:val="000000" w:themeColor="text1"/>
          <w:sz w:val="32"/>
          <w:szCs w:val="32"/>
          <w:highlight w:val="none"/>
          <w:vertAlign w:val="superscript"/>
          <w:lang w:eastAsia="zh-CN"/>
          <w14:textFill>
            <w14:solidFill>
              <w14:schemeClr w14:val="tx1"/>
            </w14:solidFill>
          </w14:textFill>
        </w:rPr>
        <w:t>2</w:t>
      </w:r>
      <w:r>
        <w:rPr>
          <w:rFonts w:hint="eastAsia" w:eastAsia="仿宋_GB2312"/>
          <w:color w:val="000000" w:themeColor="text1"/>
          <w:sz w:val="32"/>
          <w:szCs w:val="32"/>
          <w:highlight w:val="none"/>
          <w:lang w:val="en-US" w:eastAsia="zh-CN"/>
          <w14:textFill>
            <w14:solidFill>
              <w14:schemeClr w14:val="tx1"/>
            </w14:solidFill>
          </w14:textFill>
        </w:rPr>
        <w:t>危废库暂存固体废物</w:t>
      </w:r>
      <w:r>
        <w:rPr>
          <w:rFonts w:hint="eastAsia" w:eastAsia="仿宋_GB2312"/>
          <w:color w:val="000000" w:themeColor="text1"/>
          <w:sz w:val="32"/>
          <w:szCs w:val="32"/>
          <w:highlight w:val="none"/>
          <w:lang w:eastAsia="zh-CN"/>
          <w14:textFill>
            <w14:solidFill>
              <w14:schemeClr w14:val="tx1"/>
            </w14:solidFill>
          </w14:textFill>
        </w:rPr>
        <w:t>，</w:t>
      </w:r>
      <w:r>
        <w:rPr>
          <w:rFonts w:hint="eastAsia" w:eastAsia="仿宋_GB2312"/>
          <w:color w:val="000000" w:themeColor="text1"/>
          <w:sz w:val="32"/>
          <w:szCs w:val="32"/>
          <w:highlight w:val="none"/>
          <w:lang w:val="en-US" w:eastAsia="zh-CN"/>
          <w14:textFill>
            <w14:solidFill>
              <w14:schemeClr w14:val="tx1"/>
            </w14:solidFill>
          </w14:textFill>
        </w:rPr>
        <w:t>厂内暂存</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应满足</w:t>
      </w:r>
      <w:r>
        <w:rPr>
          <w:rFonts w:hint="eastAsia" w:eastAsia="仿宋_GB2312"/>
          <w:color w:val="000000" w:themeColor="text1"/>
          <w:sz w:val="32"/>
          <w:szCs w:val="32"/>
          <w:highlight w:val="none"/>
          <w:lang w:val="en-US" w:eastAsia="zh-CN"/>
          <w14:textFill>
            <w14:solidFill>
              <w14:schemeClr w14:val="tx1"/>
            </w14:solidFill>
          </w14:textFill>
        </w:rPr>
        <w:t>《危险废物贮存污染控制标准》（GB18597-2023）的有关规定要求。危险废物的转移须严格按照《危险废物转移联单管理办法》执行。同时应按照《省生态环境厅关于做好〈国家危险废物名录〉（2025版）实施后危险废物环境管理衔接工作的通知》（苏环办〔2024〕304号）、《江苏省固体废物全过程环境监管工作意见》（苏环办〔2024〕16号）等相关要求执行。</w:t>
      </w:r>
    </w:p>
    <w:p w14:paraId="207347E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b w:val="0"/>
          <w:bCs/>
          <w:color w:val="auto"/>
          <w:kern w:val="2"/>
          <w:sz w:val="32"/>
          <w:szCs w:val="24"/>
          <w:lang w:val="en-US" w:eastAsia="zh-CN" w:bidi="ar-SA"/>
        </w:rPr>
      </w:pPr>
      <w:r>
        <w:rPr>
          <w:rFonts w:hint="eastAsia" w:ascii="Times New Roman" w:hAnsi="Times New Roman" w:eastAsia="仿宋_GB2312" w:cs="Times New Roman"/>
          <w:b w:val="0"/>
          <w:bCs/>
          <w:color w:val="auto"/>
          <w:kern w:val="2"/>
          <w:sz w:val="32"/>
          <w:szCs w:val="24"/>
          <w:lang w:val="en-US" w:eastAsia="zh-CN" w:bidi="ar-SA"/>
        </w:rPr>
        <w:t>（五）加强设备运行及环境风险管理，落实《报告表》提出的风险防范措施，编制全厂突发环境事故应急预案，采取切实可行的工程控制和管理措施，防止发生污染事故。</w:t>
      </w:r>
    </w:p>
    <w:p w14:paraId="6C5493F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b w:val="0"/>
          <w:bCs/>
          <w:color w:val="auto"/>
          <w:kern w:val="2"/>
          <w:sz w:val="32"/>
          <w:szCs w:val="24"/>
          <w:lang w:val="en-US" w:eastAsia="zh-CN" w:bidi="ar-SA"/>
        </w:rPr>
      </w:pPr>
      <w:r>
        <w:rPr>
          <w:rFonts w:hint="eastAsia" w:ascii="Times New Roman" w:hAnsi="Times New Roman" w:eastAsia="仿宋_GB2312" w:cs="Times New Roman"/>
          <w:b w:val="0"/>
          <w:bCs/>
          <w:color w:val="auto"/>
          <w:kern w:val="2"/>
          <w:sz w:val="32"/>
          <w:szCs w:val="24"/>
          <w:lang w:val="en-US" w:eastAsia="zh-CN" w:bidi="ar-SA"/>
        </w:rPr>
        <w:t>（六）落实地下水和土壤污染防治措施。按照“源头控制、分区防治、污染监控、应急响应”的原则进行地下水污染防治。项目实施分区防渗，落实危废暂存库、生产区域以及原料库等区域防腐防渗措施，并采取措施防止跑、冒、滴、漏，避免污染土壤、地下水。</w:t>
      </w:r>
    </w:p>
    <w:p w14:paraId="43EBFD0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b w:val="0"/>
          <w:bCs/>
          <w:color w:val="auto"/>
          <w:kern w:val="2"/>
          <w:sz w:val="32"/>
          <w:szCs w:val="24"/>
          <w:lang w:val="en-US" w:eastAsia="zh-CN" w:bidi="ar-SA"/>
        </w:rPr>
      </w:pPr>
      <w:r>
        <w:rPr>
          <w:rFonts w:hint="eastAsia" w:ascii="Times New Roman" w:hAnsi="Times New Roman" w:eastAsia="仿宋_GB2312" w:cs="Times New Roman"/>
          <w:b w:val="0"/>
          <w:bCs/>
          <w:color w:val="auto"/>
          <w:kern w:val="2"/>
          <w:sz w:val="32"/>
          <w:szCs w:val="24"/>
          <w:lang w:val="en-US" w:eastAsia="zh-CN" w:bidi="ar-SA"/>
        </w:rPr>
        <w:t>（七）按《江苏省排污口设置及规范化整治管理办法》要求设置各类排污口、标志等，按照《报告表》提出的环境管理与监测计划实施日常环境管理与监测。</w:t>
      </w:r>
    </w:p>
    <w:p w14:paraId="4A6408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highlight w:val="none"/>
          <w14:textFill>
            <w14:solidFill>
              <w14:schemeClr w14:val="tx1"/>
            </w14:solidFill>
          </w14:textFill>
        </w:rPr>
      </w:pPr>
      <w:r>
        <w:rPr>
          <w:rFonts w:hint="eastAsia" w:ascii="Times New Roman" w:hAnsi="Times New Roman" w:eastAsia="仿宋_GB2312" w:cs="Times New Roman"/>
          <w:b w:val="0"/>
          <w:bCs/>
          <w:color w:val="auto"/>
          <w:kern w:val="2"/>
          <w:sz w:val="32"/>
          <w:szCs w:val="24"/>
          <w:lang w:val="en-US" w:eastAsia="zh-CN" w:bidi="ar-SA"/>
        </w:rPr>
        <w:t>（八）你公司应在本项目实际排污之前申请排污许可证或者填报排污登记表，未取得排污许可证或者未填报排污</w:t>
      </w:r>
      <w:r>
        <w:rPr>
          <w:rFonts w:hint="eastAsia" w:eastAsia="仿宋_GB2312" w:cs="Times New Roman"/>
          <w:b w:val="0"/>
          <w:bCs/>
          <w:color w:val="auto"/>
          <w:kern w:val="2"/>
          <w:sz w:val="32"/>
          <w:szCs w:val="24"/>
          <w:lang w:val="en-US" w:eastAsia="zh-CN" w:bidi="ar-SA"/>
        </w:rPr>
        <w:t>登记表</w:t>
      </w:r>
      <w:r>
        <w:rPr>
          <w:rFonts w:hint="eastAsia" w:ascii="Times New Roman" w:hAnsi="Times New Roman" w:eastAsia="仿宋_GB2312" w:cs="Times New Roman"/>
          <w:b w:val="0"/>
          <w:bCs/>
          <w:color w:val="auto"/>
          <w:kern w:val="2"/>
          <w:sz w:val="32"/>
          <w:szCs w:val="24"/>
          <w:lang w:val="en-US" w:eastAsia="zh-CN" w:bidi="ar-SA"/>
        </w:rPr>
        <w:t>的，不得排放污染物。</w:t>
      </w:r>
    </w:p>
    <w:p w14:paraId="7AEAF21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eastAsia="zh-CN"/>
          <w14:textFill>
            <w14:solidFill>
              <w14:schemeClr w14:val="tx1"/>
            </w14:solidFill>
          </w14:textFill>
        </w:rPr>
        <w:t>三、</w:t>
      </w:r>
      <w:r>
        <w:rPr>
          <w:rFonts w:eastAsia="仿宋_GB2312"/>
          <w:color w:val="000000" w:themeColor="text1"/>
          <w:sz w:val="32"/>
          <w:szCs w:val="32"/>
          <w:highlight w:val="none"/>
          <w14:textFill>
            <w14:solidFill>
              <w14:schemeClr w14:val="tx1"/>
            </w14:solidFill>
          </w14:textFill>
        </w:rPr>
        <w:t>本项目实施后</w:t>
      </w:r>
      <w:r>
        <w:rPr>
          <w:rFonts w:hint="eastAsia" w:eastAsia="仿宋_GB2312"/>
          <w:color w:val="000000" w:themeColor="text1"/>
          <w:sz w:val="32"/>
          <w:szCs w:val="32"/>
          <w:highlight w:val="none"/>
          <w:lang w:eastAsia="zh-CN"/>
          <w14:textFill>
            <w14:solidFill>
              <w14:schemeClr w14:val="tx1"/>
            </w14:solidFill>
          </w14:textFill>
        </w:rPr>
        <w:t>，</w:t>
      </w:r>
      <w:r>
        <w:rPr>
          <w:rFonts w:hint="eastAsia" w:eastAsia="仿宋_GB2312"/>
          <w:color w:val="000000" w:themeColor="text1"/>
          <w:sz w:val="32"/>
          <w:szCs w:val="32"/>
          <w:highlight w:val="none"/>
          <w14:textFill>
            <w14:solidFill>
              <w14:schemeClr w14:val="tx1"/>
            </w14:solidFill>
          </w14:textFill>
        </w:rPr>
        <w:t>主要</w:t>
      </w:r>
      <w:r>
        <w:rPr>
          <w:rFonts w:eastAsia="仿宋_GB2312"/>
          <w:color w:val="000000" w:themeColor="text1"/>
          <w:sz w:val="32"/>
          <w:szCs w:val="32"/>
          <w:highlight w:val="none"/>
          <w14:textFill>
            <w14:solidFill>
              <w14:schemeClr w14:val="tx1"/>
            </w14:solidFill>
          </w14:textFill>
        </w:rPr>
        <w:t>污染物年排放总量核定为：</w:t>
      </w:r>
    </w:p>
    <w:p w14:paraId="434560D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（1）废气总量：</w:t>
      </w:r>
      <w:r>
        <w:rPr>
          <w:rFonts w:hint="eastAsia" w:eastAsia="仿宋_GB2312" w:cs="Times New Roman"/>
          <w:color w:val="000000" w:themeColor="text1"/>
          <w:sz w:val="32"/>
          <w:szCs w:val="32"/>
          <w:highlight w:val="none"/>
          <w:lang w:val="en-US" w:eastAsia="zh-CN"/>
          <w14:textFill>
            <w14:solidFill>
              <w14:schemeClr w14:val="tx1"/>
            </w14:solidFill>
          </w14:textFill>
        </w:rPr>
        <w:t>VOCs</w:t>
      </w:r>
      <w:r>
        <w:rPr>
          <w:rFonts w:hint="eastAsia" w:eastAsia="仿宋_GB2312"/>
          <w:color w:val="000000" w:themeColor="text1"/>
          <w:sz w:val="32"/>
          <w:szCs w:val="32"/>
          <w:highlight w:val="none"/>
          <w:lang w:val="en-US" w:eastAsia="zh-CN"/>
          <w14:textFill>
            <w14:solidFill>
              <w14:schemeClr w14:val="tx1"/>
            </w14:solidFill>
          </w14:textFill>
        </w:rPr>
        <w:t>≤2.975</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t/a。</w:t>
      </w:r>
    </w:p>
    <w:p w14:paraId="3C3A15C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（2）废水总量（接管考核量）：废水量</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≤936</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m</w:t>
      </w:r>
      <w:r>
        <w:rPr>
          <w:rFonts w:hint="eastAsia" w:ascii="Times New Roman" w:hAnsi="Times New Roman" w:eastAsia="仿宋_GB2312" w:cs="Times New Roman"/>
          <w:color w:val="000000" w:themeColor="text1"/>
          <w:sz w:val="32"/>
          <w:szCs w:val="32"/>
          <w:highlight w:val="none"/>
          <w:vertAlign w:val="superscript"/>
          <w:lang w:eastAsia="zh-CN"/>
          <w14:textFill>
            <w14:solidFill>
              <w14:schemeClr w14:val="tx1"/>
            </w14:solidFill>
          </w14:textFill>
        </w:rPr>
        <w:t>3</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/a，COD</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≤0.2995t</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/a、NH</w:t>
      </w:r>
      <w:r>
        <w:rPr>
          <w:rFonts w:hint="eastAsia" w:ascii="Times New Roman" w:hAnsi="Times New Roman" w:eastAsia="仿宋_GB2312" w:cs="Times New Roman"/>
          <w:color w:val="000000" w:themeColor="text1"/>
          <w:sz w:val="32"/>
          <w:szCs w:val="32"/>
          <w:highlight w:val="none"/>
          <w:vertAlign w:val="subscript"/>
          <w:lang w:eastAsia="zh-CN"/>
          <w14:textFill>
            <w14:solidFill>
              <w14:schemeClr w14:val="tx1"/>
            </w14:solidFill>
          </w14:textFill>
        </w:rPr>
        <w:t>3</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-N</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eastAsia="仿宋_GB2312" w:cs="Times New Roman"/>
          <w:color w:val="000000" w:themeColor="text1"/>
          <w:sz w:val="32"/>
          <w:szCs w:val="32"/>
          <w:highlight w:val="none"/>
          <w:lang w:val="en-US" w:eastAsia="zh-CN"/>
          <w14:textFill>
            <w14:solidFill>
              <w14:schemeClr w14:val="tx1"/>
            </w14:solidFill>
          </w14:textFill>
        </w:rPr>
        <w:t>0.0328</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t/a、TP</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eastAsia="仿宋_GB2312" w:cs="Times New Roman"/>
          <w:color w:val="000000" w:themeColor="text1"/>
          <w:sz w:val="32"/>
          <w:szCs w:val="32"/>
          <w:highlight w:val="none"/>
          <w:lang w:val="en-US" w:eastAsia="zh-CN"/>
          <w14:textFill>
            <w14:solidFill>
              <w14:schemeClr w14:val="tx1"/>
            </w14:solidFill>
          </w14:textFill>
        </w:rPr>
        <w:t>0.0028</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t/a、TN</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eastAsia="仿宋_GB2312" w:cs="Times New Roman"/>
          <w:color w:val="000000" w:themeColor="text1"/>
          <w:sz w:val="32"/>
          <w:szCs w:val="32"/>
          <w:highlight w:val="none"/>
          <w:lang w:val="en-US" w:eastAsia="zh-CN"/>
          <w14:textFill>
            <w14:solidFill>
              <w14:schemeClr w14:val="tx1"/>
            </w14:solidFill>
          </w14:textFill>
        </w:rPr>
        <w:t>0.0374</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t</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/a；</w:t>
      </w:r>
    </w:p>
    <w:p w14:paraId="0731281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废水最终外排环境量：废水量</w:t>
      </w:r>
      <w:r>
        <w:rPr>
          <w:rFonts w:hint="eastAsia" w:eastAsia="仿宋_GB2312"/>
          <w:color w:val="000000" w:themeColor="text1"/>
          <w:sz w:val="32"/>
          <w:szCs w:val="32"/>
          <w:highlight w:val="none"/>
          <w:lang w:val="en-US" w:eastAsia="zh-CN"/>
          <w14:textFill>
            <w14:solidFill>
              <w14:schemeClr w14:val="tx1"/>
            </w14:solidFill>
          </w14:textFill>
        </w:rPr>
        <w:t>≤936</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m</w:t>
      </w:r>
      <w:r>
        <w:rPr>
          <w:rFonts w:hint="eastAsia" w:ascii="Times New Roman" w:hAnsi="Times New Roman" w:eastAsia="仿宋_GB2312" w:cs="Times New Roman"/>
          <w:color w:val="000000" w:themeColor="text1"/>
          <w:sz w:val="32"/>
          <w:szCs w:val="32"/>
          <w:highlight w:val="none"/>
          <w:vertAlign w:val="superscript"/>
          <w:lang w:eastAsia="zh-CN"/>
          <w14:textFill>
            <w14:solidFill>
              <w14:schemeClr w14:val="tx1"/>
            </w14:solidFill>
          </w14:textFill>
        </w:rPr>
        <w:t>3</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/a，COD</w:t>
      </w:r>
      <w:r>
        <w:rPr>
          <w:rFonts w:hint="eastAsia" w:eastAsia="仿宋_GB2312"/>
          <w:color w:val="000000" w:themeColor="text1"/>
          <w:sz w:val="32"/>
          <w:szCs w:val="32"/>
          <w:highlight w:val="none"/>
          <w:lang w:val="en-US" w:eastAsia="zh-CN"/>
          <w14:textFill>
            <w14:solidFill>
              <w14:schemeClr w14:val="tx1"/>
            </w14:solidFill>
          </w14:textFill>
        </w:rPr>
        <w:t>≤0.0468</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t/a、NH</w:t>
      </w:r>
      <w:r>
        <w:rPr>
          <w:rFonts w:hint="eastAsia" w:ascii="Times New Roman" w:hAnsi="Times New Roman" w:eastAsia="仿宋_GB2312" w:cs="Times New Roman"/>
          <w:color w:val="000000" w:themeColor="text1"/>
          <w:sz w:val="32"/>
          <w:szCs w:val="32"/>
          <w:highlight w:val="none"/>
          <w:vertAlign w:val="subscript"/>
          <w:lang w:eastAsia="zh-CN"/>
          <w14:textFill>
            <w14:solidFill>
              <w14:schemeClr w14:val="tx1"/>
            </w14:solidFill>
          </w14:textFill>
        </w:rPr>
        <w:t>3</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-N</w:t>
      </w:r>
      <w:r>
        <w:rPr>
          <w:rFonts w:hint="eastAsia" w:eastAsia="仿宋_GB2312"/>
          <w:color w:val="000000" w:themeColor="text1"/>
          <w:sz w:val="32"/>
          <w:szCs w:val="32"/>
          <w:highlight w:val="none"/>
          <w:lang w:val="en-US" w:eastAsia="zh-CN"/>
          <w14:textFill>
            <w14:solidFill>
              <w14:schemeClr w14:val="tx1"/>
            </w14:solidFill>
          </w14:textFill>
        </w:rPr>
        <w:t>≤0.0047</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t/a、TP</w:t>
      </w:r>
      <w:r>
        <w:rPr>
          <w:rFonts w:hint="eastAsia" w:eastAsia="仿宋_GB2312"/>
          <w:color w:val="000000" w:themeColor="text1"/>
          <w:sz w:val="32"/>
          <w:szCs w:val="32"/>
          <w:highlight w:val="none"/>
          <w:lang w:val="en-US" w:eastAsia="zh-CN"/>
          <w14:textFill>
            <w14:solidFill>
              <w14:schemeClr w14:val="tx1"/>
            </w14:solidFill>
          </w14:textFill>
        </w:rPr>
        <w:t>≤0.0005</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t/a、TN</w:t>
      </w:r>
      <w:r>
        <w:rPr>
          <w:rFonts w:hint="eastAsia" w:eastAsia="仿宋_GB2312"/>
          <w:color w:val="000000" w:themeColor="text1"/>
          <w:sz w:val="32"/>
          <w:szCs w:val="32"/>
          <w:highlight w:val="none"/>
          <w:lang w:val="en-US" w:eastAsia="zh-CN"/>
          <w14:textFill>
            <w14:solidFill>
              <w14:schemeClr w14:val="tx1"/>
            </w14:solidFill>
          </w14:textFill>
        </w:rPr>
        <w:t>≤0.014</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t/a。</w:t>
      </w:r>
    </w:p>
    <w:p w14:paraId="314C5B4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eastAsia="zh-CN"/>
          <w14:textFill>
            <w14:solidFill>
              <w14:schemeClr w14:val="tx1"/>
            </w14:solidFill>
          </w14:textFill>
        </w:rPr>
        <w:t>固体废物</w:t>
      </w:r>
      <w:r>
        <w:rPr>
          <w:rFonts w:eastAsia="仿宋_GB2312"/>
          <w:color w:val="000000" w:themeColor="text1"/>
          <w:sz w:val="32"/>
          <w:szCs w:val="32"/>
          <w:highlight w:val="none"/>
          <w14:textFill>
            <w14:solidFill>
              <w14:schemeClr w14:val="tx1"/>
            </w14:solidFill>
          </w14:textFill>
        </w:rPr>
        <w:t>：全部综合利用或安全处置。</w:t>
      </w:r>
    </w:p>
    <w:p w14:paraId="58944DA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eastAsia="zh-CN"/>
          <w14:textFill>
            <w14:solidFill>
              <w14:schemeClr w14:val="tx1"/>
            </w14:solidFill>
          </w14:textFill>
        </w:rPr>
        <w:t>四、</w:t>
      </w:r>
      <w:r>
        <w:rPr>
          <w:rFonts w:eastAsia="仿宋_GB2312"/>
          <w:color w:val="000000" w:themeColor="text1"/>
          <w:sz w:val="32"/>
          <w:szCs w:val="32"/>
          <w:highlight w:val="none"/>
          <w14:textFill>
            <w14:solidFill>
              <w14:schemeClr w14:val="tx1"/>
            </w14:solidFill>
          </w14:textFill>
        </w:rPr>
        <w:t>项目建设必须严格执行环境保护</w:t>
      </w:r>
      <w:r>
        <w:rPr>
          <w:rFonts w:hint="eastAsia" w:eastAsia="仿宋_GB2312"/>
          <w:color w:val="000000" w:themeColor="text1"/>
          <w:sz w:val="32"/>
          <w:szCs w:val="32"/>
          <w:highlight w:val="none"/>
          <w14:textFill>
            <w14:solidFill>
              <w14:schemeClr w14:val="tx1"/>
            </w14:solidFill>
          </w14:textFill>
        </w:rPr>
        <w:t>“</w:t>
      </w:r>
      <w:r>
        <w:rPr>
          <w:rFonts w:eastAsia="仿宋_GB2312"/>
          <w:color w:val="000000" w:themeColor="text1"/>
          <w:sz w:val="32"/>
          <w:szCs w:val="32"/>
          <w:highlight w:val="none"/>
          <w14:textFill>
            <w14:solidFill>
              <w14:schemeClr w14:val="tx1"/>
            </w14:solidFill>
          </w14:textFill>
        </w:rPr>
        <w:t>三同时</w:t>
      </w:r>
      <w:r>
        <w:rPr>
          <w:rFonts w:hint="eastAsia" w:eastAsia="仿宋_GB2312"/>
          <w:color w:val="000000" w:themeColor="text1"/>
          <w:sz w:val="32"/>
          <w:szCs w:val="32"/>
          <w:highlight w:val="none"/>
          <w14:textFill>
            <w14:solidFill>
              <w14:schemeClr w14:val="tx1"/>
            </w14:solidFill>
          </w14:textFill>
        </w:rPr>
        <w:t>”</w:t>
      </w:r>
      <w:r>
        <w:rPr>
          <w:rFonts w:eastAsia="仿宋_GB2312"/>
          <w:color w:val="000000" w:themeColor="text1"/>
          <w:sz w:val="32"/>
          <w:szCs w:val="32"/>
          <w:highlight w:val="none"/>
          <w14:textFill>
            <w14:solidFill>
              <w14:schemeClr w14:val="tx1"/>
            </w14:solidFill>
          </w14:textFill>
        </w:rPr>
        <w:t>制度</w:t>
      </w:r>
      <w:r>
        <w:rPr>
          <w:rFonts w:hint="eastAsia" w:eastAsia="仿宋_GB2312"/>
          <w:color w:val="000000" w:themeColor="text1"/>
          <w:sz w:val="32"/>
          <w:szCs w:val="32"/>
          <w:highlight w:val="none"/>
          <w:lang w:eastAsia="zh-CN"/>
          <w14:textFill>
            <w14:solidFill>
              <w14:schemeClr w14:val="tx1"/>
            </w14:solidFill>
          </w14:textFill>
        </w:rPr>
        <w:t>，必</w:t>
      </w:r>
      <w:r>
        <w:rPr>
          <w:rFonts w:eastAsia="仿宋_GB2312"/>
          <w:color w:val="000000" w:themeColor="text1"/>
          <w:sz w:val="32"/>
          <w:szCs w:val="32"/>
          <w:highlight w:val="none"/>
          <w14:textFill>
            <w14:solidFill>
              <w14:schemeClr w14:val="tx1"/>
            </w14:solidFill>
          </w14:textFill>
        </w:rPr>
        <w:t>须按规定程序实施竣工环境保护验收</w:t>
      </w:r>
      <w:r>
        <w:rPr>
          <w:rFonts w:hint="eastAsia" w:eastAsia="仿宋_GB2312"/>
          <w:color w:val="000000" w:themeColor="text1"/>
          <w:sz w:val="32"/>
          <w:szCs w:val="32"/>
          <w:highlight w:val="none"/>
          <w14:textFill>
            <w14:solidFill>
              <w14:schemeClr w14:val="tx1"/>
            </w14:solidFill>
          </w14:textFill>
        </w:rPr>
        <w:t>。</w:t>
      </w:r>
    </w:p>
    <w:p w14:paraId="6F59531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eastAsia="zh-CN"/>
          <w14:textFill>
            <w14:solidFill>
              <w14:schemeClr w14:val="tx1"/>
            </w14:solidFill>
          </w14:textFill>
        </w:rPr>
        <w:t>五、</w:t>
      </w:r>
      <w:r>
        <w:rPr>
          <w:rFonts w:eastAsia="仿宋_GB2312"/>
          <w:color w:val="000000" w:themeColor="text1"/>
          <w:sz w:val="32"/>
          <w:szCs w:val="32"/>
          <w:highlight w:val="none"/>
          <w14:textFill>
            <w14:solidFill>
              <w14:schemeClr w14:val="tx1"/>
            </w14:solidFill>
          </w14:textFill>
        </w:rPr>
        <w:t>项目建设</w:t>
      </w:r>
      <w:r>
        <w:rPr>
          <w:rFonts w:hint="eastAsia" w:eastAsia="仿宋_GB2312"/>
          <w:color w:val="000000" w:themeColor="text1"/>
          <w:sz w:val="32"/>
          <w:szCs w:val="32"/>
          <w:highlight w:val="none"/>
          <w14:textFill>
            <w14:solidFill>
              <w14:schemeClr w14:val="tx1"/>
            </w14:solidFill>
          </w14:textFill>
        </w:rPr>
        <w:t>和运行</w:t>
      </w:r>
      <w:r>
        <w:rPr>
          <w:rFonts w:eastAsia="仿宋_GB2312"/>
          <w:color w:val="000000" w:themeColor="text1"/>
          <w:sz w:val="32"/>
          <w:szCs w:val="32"/>
          <w:highlight w:val="none"/>
          <w14:textFill>
            <w14:solidFill>
              <w14:schemeClr w14:val="tx1"/>
            </w14:solidFill>
          </w14:textFill>
        </w:rPr>
        <w:t>期间的环境监管由连云港市</w:t>
      </w:r>
      <w:r>
        <w:rPr>
          <w:rFonts w:hint="eastAsia" w:eastAsia="仿宋_GB2312"/>
          <w:color w:val="000000" w:themeColor="text1"/>
          <w:sz w:val="32"/>
          <w:szCs w:val="32"/>
          <w:highlight w:val="none"/>
          <w:lang w:eastAsia="zh-CN"/>
          <w14:textFill>
            <w14:solidFill>
              <w14:schemeClr w14:val="tx1"/>
            </w14:solidFill>
          </w14:textFill>
        </w:rPr>
        <w:t>海州</w:t>
      </w:r>
      <w:r>
        <w:rPr>
          <w:rFonts w:eastAsia="仿宋_GB2312"/>
          <w:color w:val="000000" w:themeColor="text1"/>
          <w:sz w:val="32"/>
          <w:szCs w:val="32"/>
          <w:highlight w:val="none"/>
          <w14:textFill>
            <w14:solidFill>
              <w14:schemeClr w14:val="tx1"/>
            </w14:solidFill>
          </w14:textFill>
        </w:rPr>
        <w:t>生态环境局负责。</w:t>
      </w:r>
    </w:p>
    <w:p w14:paraId="003D72C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eastAsia="zh-CN"/>
          <w14:textFill>
            <w14:solidFill>
              <w14:schemeClr w14:val="tx1"/>
            </w14:solidFill>
          </w14:textFill>
        </w:rPr>
        <w:t>六、</w:t>
      </w:r>
      <w:r>
        <w:rPr>
          <w:rFonts w:eastAsia="仿宋_GB2312"/>
          <w:color w:val="000000" w:themeColor="text1"/>
          <w:sz w:val="32"/>
          <w:szCs w:val="32"/>
          <w:highlight w:val="none"/>
          <w14:textFill>
            <w14:solidFill>
              <w14:schemeClr w14:val="tx1"/>
            </w14:solidFill>
          </w14:textFill>
        </w:rPr>
        <w:t>项目的性质、规模、地点</w:t>
      </w:r>
      <w:r>
        <w:rPr>
          <w:rFonts w:hint="eastAsia" w:eastAsia="仿宋_GB2312"/>
          <w:color w:val="000000" w:themeColor="text1"/>
          <w:sz w:val="32"/>
          <w:szCs w:val="32"/>
          <w:highlight w:val="none"/>
          <w14:textFill>
            <w14:solidFill>
              <w14:schemeClr w14:val="tx1"/>
            </w14:solidFill>
          </w14:textFill>
        </w:rPr>
        <w:t>、采用的生产工艺</w:t>
      </w:r>
      <w:r>
        <w:rPr>
          <w:rFonts w:eastAsia="仿宋_GB2312"/>
          <w:color w:val="000000" w:themeColor="text1"/>
          <w:sz w:val="32"/>
          <w:szCs w:val="32"/>
          <w:highlight w:val="none"/>
          <w14:textFill>
            <w14:solidFill>
              <w14:schemeClr w14:val="tx1"/>
            </w14:solidFill>
          </w14:textFill>
        </w:rPr>
        <w:t>或者防治污染、防止生态破坏的措施发生重大变动的</w:t>
      </w:r>
      <w:r>
        <w:rPr>
          <w:rFonts w:hint="eastAsia" w:eastAsia="仿宋_GB2312"/>
          <w:color w:val="000000" w:themeColor="text1"/>
          <w:sz w:val="32"/>
          <w:szCs w:val="32"/>
          <w:highlight w:val="none"/>
          <w:lang w:eastAsia="zh-CN"/>
          <w14:textFill>
            <w14:solidFill>
              <w14:schemeClr w14:val="tx1"/>
            </w14:solidFill>
          </w14:textFill>
        </w:rPr>
        <w:t>，</w:t>
      </w:r>
      <w:r>
        <w:rPr>
          <w:rFonts w:eastAsia="仿宋_GB2312"/>
          <w:color w:val="000000" w:themeColor="text1"/>
          <w:sz w:val="32"/>
          <w:szCs w:val="32"/>
          <w:highlight w:val="none"/>
          <w14:textFill>
            <w14:solidFill>
              <w14:schemeClr w14:val="tx1"/>
            </w14:solidFill>
          </w14:textFill>
        </w:rPr>
        <w:t>应当重新报批项目的环境影响评价文件。项目自批准之日起超过五年方开工建设的</w:t>
      </w:r>
      <w:r>
        <w:rPr>
          <w:rFonts w:hint="eastAsia" w:eastAsia="仿宋_GB2312"/>
          <w:color w:val="000000" w:themeColor="text1"/>
          <w:sz w:val="32"/>
          <w:szCs w:val="32"/>
          <w:highlight w:val="none"/>
          <w:lang w:eastAsia="zh-CN"/>
          <w14:textFill>
            <w14:solidFill>
              <w14:schemeClr w14:val="tx1"/>
            </w14:solidFill>
          </w14:textFill>
        </w:rPr>
        <w:t>，</w:t>
      </w:r>
      <w:r>
        <w:rPr>
          <w:rFonts w:eastAsia="仿宋_GB2312"/>
          <w:color w:val="000000" w:themeColor="text1"/>
          <w:sz w:val="32"/>
          <w:szCs w:val="32"/>
          <w:highlight w:val="none"/>
          <w14:textFill>
            <w14:solidFill>
              <w14:schemeClr w14:val="tx1"/>
            </w14:solidFill>
          </w14:textFill>
        </w:rPr>
        <w:t>环评文件须重新报审。</w:t>
      </w:r>
      <w:bookmarkStart w:id="1" w:name="_GoBack"/>
      <w:bookmarkEnd w:id="1"/>
    </w:p>
    <w:p w14:paraId="323B7C3B">
      <w:pPr>
        <w:keepNext w:val="0"/>
        <w:keepLines w:val="0"/>
        <w:pageBreakBefore w:val="0"/>
        <w:kinsoku/>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highlight w:val="yellow"/>
          <w14:textFill>
            <w14:solidFill>
              <w14:schemeClr w14:val="tx1"/>
            </w14:solidFill>
          </w14:textFill>
        </w:rPr>
      </w:pPr>
    </w:p>
    <w:p w14:paraId="58D98C19">
      <w:pPr>
        <w:keepNext w:val="0"/>
        <w:keepLines w:val="0"/>
        <w:pageBreakBefore w:val="0"/>
        <w:kinsoku/>
        <w:overflowPunct/>
        <w:topLinePunct w:val="0"/>
        <w:autoSpaceDE/>
        <w:autoSpaceDN/>
        <w:bidi w:val="0"/>
        <w:adjustRightInd w:val="0"/>
        <w:snapToGrid w:val="0"/>
        <w:spacing w:line="560" w:lineRule="exact"/>
        <w:ind w:firstLine="640" w:firstLineChars="200"/>
        <w:textAlignment w:val="auto"/>
        <w:rPr>
          <w:rFonts w:eastAsia="仿宋_GB2312"/>
          <w:color w:val="000000" w:themeColor="text1"/>
          <w:sz w:val="32"/>
          <w:szCs w:val="32"/>
          <w:highlight w:val="yellow"/>
          <w14:textFill>
            <w14:solidFill>
              <w14:schemeClr w14:val="tx1"/>
            </w14:solidFill>
          </w14:textFill>
        </w:rPr>
      </w:pPr>
    </w:p>
    <w:p w14:paraId="47BAF7B8">
      <w:pPr>
        <w:keepNext w:val="0"/>
        <w:keepLines w:val="0"/>
        <w:pageBreakBefore w:val="0"/>
        <w:kinsoku/>
        <w:overflowPunct/>
        <w:topLinePunct w:val="0"/>
        <w:autoSpaceDE/>
        <w:autoSpaceDN/>
        <w:bidi w:val="0"/>
        <w:adjustRightInd w:val="0"/>
        <w:snapToGrid w:val="0"/>
        <w:spacing w:line="560" w:lineRule="exact"/>
        <w:ind w:firstLine="2720" w:firstLineChars="850"/>
        <w:textAlignment w:val="auto"/>
        <w:rPr>
          <w:rFonts w:eastAsia="仿宋_GB2312"/>
          <w:color w:val="000000" w:themeColor="text1"/>
          <w:sz w:val="32"/>
          <w:szCs w:val="32"/>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连云港高新技术产业开发区行政审批局</w:t>
      </w:r>
    </w:p>
    <w:p w14:paraId="726475C0">
      <w:pPr>
        <w:keepNext w:val="0"/>
        <w:keepLines w:val="0"/>
        <w:pageBreakBefore w:val="0"/>
        <w:kinsoku/>
        <w:wordWrap w:val="0"/>
        <w:overflowPunct/>
        <w:topLinePunct w:val="0"/>
        <w:autoSpaceDE/>
        <w:autoSpaceDN/>
        <w:bidi w:val="0"/>
        <w:adjustRightInd w:val="0"/>
        <w:snapToGrid w:val="0"/>
        <w:spacing w:line="560" w:lineRule="exact"/>
        <w:ind w:firstLine="640" w:firstLineChars="200"/>
        <w:jc w:val="right"/>
        <w:textAlignment w:val="auto"/>
        <w:rPr>
          <w:rFonts w:hint="default" w:eastAsia="仿宋_GB2312"/>
          <w:color w:val="000000" w:themeColor="text1"/>
          <w:sz w:val="32"/>
          <w:szCs w:val="32"/>
          <w:highlight w:val="none"/>
          <w:lang w:val="en-US" w:eastAsia="zh-CN"/>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202</w:t>
      </w:r>
      <w:r>
        <w:rPr>
          <w:rFonts w:hint="eastAsia" w:eastAsia="仿宋_GB2312"/>
          <w:color w:val="000000" w:themeColor="text1"/>
          <w:sz w:val="32"/>
          <w:szCs w:val="32"/>
          <w:highlight w:val="none"/>
          <w:lang w:val="en-US" w:eastAsia="zh-CN"/>
          <w14:textFill>
            <w14:solidFill>
              <w14:schemeClr w14:val="tx1"/>
            </w14:solidFill>
          </w14:textFill>
        </w:rPr>
        <w:t>6</w:t>
      </w:r>
      <w:r>
        <w:rPr>
          <w:rFonts w:eastAsia="仿宋_GB2312"/>
          <w:color w:val="000000" w:themeColor="text1"/>
          <w:sz w:val="32"/>
          <w:szCs w:val="32"/>
          <w:highlight w:val="none"/>
          <w14:textFill>
            <w14:solidFill>
              <w14:schemeClr w14:val="tx1"/>
            </w14:solidFill>
          </w14:textFill>
        </w:rPr>
        <w:t>年</w:t>
      </w:r>
      <w:r>
        <w:rPr>
          <w:rFonts w:hint="eastAsia" w:eastAsia="仿宋_GB2312"/>
          <w:color w:val="000000" w:themeColor="text1"/>
          <w:sz w:val="32"/>
          <w:szCs w:val="32"/>
          <w:highlight w:val="none"/>
          <w:lang w:val="en-US" w:eastAsia="zh-CN"/>
          <w14:textFill>
            <w14:solidFill>
              <w14:schemeClr w14:val="tx1"/>
            </w14:solidFill>
          </w14:textFill>
        </w:rPr>
        <w:t>10</w:t>
      </w:r>
      <w:r>
        <w:rPr>
          <w:rFonts w:eastAsia="仿宋_GB2312"/>
          <w:color w:val="000000" w:themeColor="text1"/>
          <w:sz w:val="32"/>
          <w:szCs w:val="32"/>
          <w:highlight w:val="none"/>
          <w14:textFill>
            <w14:solidFill>
              <w14:schemeClr w14:val="tx1"/>
            </w14:solidFill>
          </w14:textFill>
        </w:rPr>
        <w:t>月</w:t>
      </w:r>
      <w:r>
        <w:rPr>
          <w:rFonts w:hint="eastAsia" w:eastAsia="仿宋_GB2312"/>
          <w:color w:val="000000" w:themeColor="text1"/>
          <w:sz w:val="32"/>
          <w:szCs w:val="32"/>
          <w:highlight w:val="none"/>
          <w:lang w:val="en-US" w:eastAsia="zh-CN"/>
          <w14:textFill>
            <w14:solidFill>
              <w14:schemeClr w14:val="tx1"/>
            </w14:solidFill>
          </w14:textFill>
        </w:rPr>
        <w:t>9</w:t>
      </w:r>
      <w:r>
        <w:rPr>
          <w:rFonts w:eastAsia="仿宋_GB2312"/>
          <w:color w:val="000000" w:themeColor="text1"/>
          <w:sz w:val="32"/>
          <w:szCs w:val="32"/>
          <w:highlight w:val="none"/>
          <w14:textFill>
            <w14:solidFill>
              <w14:schemeClr w14:val="tx1"/>
            </w14:solidFill>
          </w14:textFill>
        </w:rPr>
        <w:t>日</w:t>
      </w:r>
      <w:r>
        <w:rPr>
          <w:rFonts w:hint="eastAsia" w:eastAsia="仿宋_GB2312"/>
          <w:color w:val="000000" w:themeColor="text1"/>
          <w:sz w:val="32"/>
          <w:szCs w:val="32"/>
          <w:highlight w:val="none"/>
          <w:lang w:val="en-US" w:eastAsia="zh-CN"/>
          <w14:textFill>
            <w14:solidFill>
              <w14:schemeClr w14:val="tx1"/>
            </w14:solidFill>
          </w14:textFill>
        </w:rPr>
        <w:tab/>
      </w:r>
      <w:r>
        <w:rPr>
          <w:rFonts w:hint="eastAsia" w:eastAsia="仿宋_GB2312"/>
          <w:color w:val="000000" w:themeColor="text1"/>
          <w:sz w:val="32"/>
          <w:szCs w:val="32"/>
          <w:highlight w:val="none"/>
          <w:lang w:val="en-US" w:eastAsia="zh-CN"/>
          <w14:textFill>
            <w14:solidFill>
              <w14:schemeClr w14:val="tx1"/>
            </w14:solidFill>
          </w14:textFill>
        </w:rPr>
        <w:tab/>
      </w:r>
      <w:r>
        <w:rPr>
          <w:rFonts w:hint="eastAsia" w:eastAsia="仿宋_GB2312"/>
          <w:color w:val="000000" w:themeColor="text1"/>
          <w:sz w:val="32"/>
          <w:szCs w:val="32"/>
          <w:highlight w:val="none"/>
          <w:lang w:val="en-US" w:eastAsia="zh-CN"/>
          <w14:textFill>
            <w14:solidFill>
              <w14:schemeClr w14:val="tx1"/>
            </w14:solidFill>
          </w14:textFill>
        </w:rPr>
        <w:tab/>
      </w:r>
      <w:r>
        <w:rPr>
          <w:rFonts w:hint="eastAsia" w:eastAsia="仿宋_GB2312"/>
          <w:color w:val="000000" w:themeColor="text1"/>
          <w:sz w:val="32"/>
          <w:szCs w:val="32"/>
          <w:highlight w:val="none"/>
          <w:lang w:val="en-US" w:eastAsia="zh-CN"/>
          <w14:textFill>
            <w14:solidFill>
              <w14:schemeClr w14:val="tx1"/>
            </w14:solidFill>
          </w14:textFill>
        </w:rPr>
        <w:tab/>
      </w:r>
      <w:r>
        <w:rPr>
          <w:rFonts w:hint="eastAsia" w:eastAsia="仿宋_GB2312"/>
          <w:color w:val="000000" w:themeColor="text1"/>
          <w:sz w:val="32"/>
          <w:szCs w:val="32"/>
          <w:highlight w:val="none"/>
          <w:lang w:val="en-US" w:eastAsia="zh-CN"/>
          <w14:textFill>
            <w14:solidFill>
              <w14:schemeClr w14:val="tx1"/>
            </w14:solidFill>
          </w14:textFill>
        </w:rPr>
        <w:tab/>
      </w:r>
    </w:p>
    <w:p w14:paraId="28DF743C">
      <w:pPr>
        <w:keepNext w:val="0"/>
        <w:keepLines w:val="0"/>
        <w:pageBreakBefore w:val="0"/>
        <w:kinsoku/>
        <w:wordWrap w:val="0"/>
        <w:overflowPunct/>
        <w:topLinePunct w:val="0"/>
        <w:autoSpaceDE/>
        <w:autoSpaceDN/>
        <w:bidi w:val="0"/>
        <w:adjustRightInd w:val="0"/>
        <w:snapToGrid w:val="0"/>
        <w:spacing w:line="560" w:lineRule="exact"/>
        <w:ind w:firstLine="640" w:firstLineChars="200"/>
        <w:jc w:val="right"/>
        <w:textAlignment w:val="auto"/>
        <w:rPr>
          <w:rFonts w:hint="eastAsia" w:eastAsia="仿宋_GB2312"/>
          <w:color w:val="000000" w:themeColor="text1"/>
          <w:sz w:val="32"/>
          <w:szCs w:val="32"/>
          <w:highlight w:val="none"/>
          <w:lang w:val="en-US" w:eastAsia="zh-CN"/>
          <w14:textFill>
            <w14:solidFill>
              <w14:schemeClr w14:val="tx1"/>
            </w14:solidFill>
          </w14:textFill>
        </w:rPr>
      </w:pPr>
    </w:p>
    <w:p w14:paraId="678BE906">
      <w:pPr>
        <w:keepNext w:val="0"/>
        <w:keepLines w:val="0"/>
        <w:pageBreakBefore w:val="0"/>
        <w:kinsoku/>
        <w:wordWrap w:val="0"/>
        <w:overflowPunct/>
        <w:topLinePunct w:val="0"/>
        <w:autoSpaceDE/>
        <w:autoSpaceDN/>
        <w:bidi w:val="0"/>
        <w:adjustRightInd w:val="0"/>
        <w:snapToGrid w:val="0"/>
        <w:spacing w:line="560" w:lineRule="exact"/>
        <w:ind w:firstLine="640" w:firstLineChars="200"/>
        <w:jc w:val="right"/>
        <w:textAlignment w:val="auto"/>
        <w:rPr>
          <w:rFonts w:hint="eastAsia" w:eastAsia="仿宋_GB2312"/>
          <w:color w:val="000000" w:themeColor="text1"/>
          <w:sz w:val="32"/>
          <w:szCs w:val="32"/>
          <w:highlight w:val="none"/>
          <w:lang w:val="en-US" w:eastAsia="zh-CN"/>
          <w14:textFill>
            <w14:solidFill>
              <w14:schemeClr w14:val="tx1"/>
            </w14:solidFill>
          </w14:textFill>
        </w:rPr>
      </w:pPr>
    </w:p>
    <w:p w14:paraId="7975B938">
      <w:pPr>
        <w:keepNext w:val="0"/>
        <w:keepLines w:val="0"/>
        <w:pageBreakBefore w:val="0"/>
        <w:kinsoku/>
        <w:wordWrap w:val="0"/>
        <w:overflowPunct/>
        <w:topLinePunct w:val="0"/>
        <w:autoSpaceDE/>
        <w:autoSpaceDN/>
        <w:bidi w:val="0"/>
        <w:adjustRightInd w:val="0"/>
        <w:snapToGrid w:val="0"/>
        <w:spacing w:line="560" w:lineRule="exact"/>
        <w:ind w:firstLine="640" w:firstLineChars="200"/>
        <w:jc w:val="right"/>
        <w:textAlignment w:val="auto"/>
        <w:rPr>
          <w:rFonts w:hint="eastAsia" w:eastAsia="仿宋_GB2312"/>
          <w:color w:val="000000" w:themeColor="text1"/>
          <w:sz w:val="32"/>
          <w:szCs w:val="32"/>
          <w:highlight w:val="none"/>
          <w:lang w:val="en-US" w:eastAsia="zh-CN"/>
          <w14:textFill>
            <w14:solidFill>
              <w14:schemeClr w14:val="tx1"/>
            </w14:solidFill>
          </w14:textFill>
        </w:rPr>
      </w:pPr>
    </w:p>
    <w:p w14:paraId="37BFF2A8">
      <w:pPr>
        <w:keepNext w:val="0"/>
        <w:keepLines w:val="0"/>
        <w:pageBreakBefore w:val="0"/>
        <w:kinsoku/>
        <w:wordWrap/>
        <w:overflowPunct/>
        <w:topLinePunct w:val="0"/>
        <w:autoSpaceDE/>
        <w:autoSpaceDN/>
        <w:bidi w:val="0"/>
        <w:adjustRightInd w:val="0"/>
        <w:snapToGrid w:val="0"/>
        <w:spacing w:line="560" w:lineRule="exact"/>
        <w:ind w:firstLine="640" w:firstLineChars="200"/>
        <w:jc w:val="right"/>
        <w:textAlignment w:val="auto"/>
        <w:rPr>
          <w:rFonts w:hint="eastAsia" w:eastAsia="仿宋_GB2312"/>
          <w:color w:val="000000" w:themeColor="text1"/>
          <w:sz w:val="32"/>
          <w:szCs w:val="32"/>
          <w:highlight w:val="none"/>
          <w:lang w:val="en-US" w:eastAsia="zh-CN"/>
          <w14:textFill>
            <w14:solidFill>
              <w14:schemeClr w14:val="tx1"/>
            </w14:solidFill>
          </w14:textFill>
        </w:rPr>
      </w:pPr>
    </w:p>
    <w:p w14:paraId="5F4679DF">
      <w:pPr>
        <w:keepNext w:val="0"/>
        <w:keepLines w:val="0"/>
        <w:pageBreakBefore w:val="0"/>
        <w:widowControl w:val="0"/>
        <w:kinsoku/>
        <w:wordWrap w:val="0"/>
        <w:overflowPunct/>
        <w:topLinePunct w:val="0"/>
        <w:autoSpaceDE/>
        <w:autoSpaceDN/>
        <w:bidi w:val="0"/>
        <w:adjustRightInd w:val="0"/>
        <w:snapToGrid w:val="0"/>
        <w:spacing w:line="540" w:lineRule="exact"/>
        <w:textAlignment w:val="auto"/>
        <w:rPr>
          <w:rFonts w:hint="eastAsia" w:ascii="Times New Roman" w:hAnsi="Times New Roman" w:eastAsia="仿宋_GB2312" w:cs="Times New Roman"/>
          <w:color w:val="auto"/>
          <w:sz w:val="32"/>
          <w:szCs w:val="32"/>
          <w:lang w:eastAsia="zh-CN"/>
        </w:rPr>
      </w:pPr>
    </w:p>
    <w:p w14:paraId="59C3EBCE">
      <w:pPr>
        <w:keepNext w:val="0"/>
        <w:keepLines w:val="0"/>
        <w:pageBreakBefore w:val="0"/>
        <w:widowControl w:val="0"/>
        <w:kinsoku/>
        <w:wordWrap w:val="0"/>
        <w:overflowPunct/>
        <w:topLinePunct w:val="0"/>
        <w:autoSpaceDE/>
        <w:autoSpaceDN/>
        <w:bidi w:val="0"/>
        <w:adjustRightInd w:val="0"/>
        <w:snapToGrid w:val="0"/>
        <w:spacing w:line="540" w:lineRule="exact"/>
        <w:textAlignment w:val="auto"/>
        <w:rPr>
          <w:rFonts w:hint="eastAsia" w:ascii="Times New Roman" w:hAnsi="Times New Roman" w:eastAsia="仿宋_GB2312" w:cs="Times New Roman"/>
          <w:color w:val="auto"/>
          <w:sz w:val="32"/>
          <w:szCs w:val="32"/>
          <w:lang w:eastAsia="zh-CN"/>
        </w:rPr>
      </w:pPr>
    </w:p>
    <w:p w14:paraId="0B03C67D">
      <w:pPr>
        <w:keepNext w:val="0"/>
        <w:keepLines w:val="0"/>
        <w:pageBreakBefore w:val="0"/>
        <w:widowControl w:val="0"/>
        <w:kinsoku/>
        <w:wordWrap w:val="0"/>
        <w:overflowPunct/>
        <w:topLinePunct w:val="0"/>
        <w:autoSpaceDE/>
        <w:autoSpaceDN/>
        <w:bidi w:val="0"/>
        <w:adjustRightInd w:val="0"/>
        <w:snapToGrid w:val="0"/>
        <w:spacing w:line="540" w:lineRule="exact"/>
        <w:textAlignment w:val="auto"/>
        <w:rPr>
          <w:rFonts w:hint="eastAsia" w:ascii="Times New Roman" w:hAnsi="Times New Roman" w:eastAsia="仿宋_GB2312" w:cs="Times New Roman"/>
          <w:color w:val="auto"/>
          <w:sz w:val="32"/>
          <w:szCs w:val="32"/>
          <w:lang w:eastAsia="zh-CN"/>
        </w:rPr>
      </w:pPr>
    </w:p>
    <w:p w14:paraId="63F74B48">
      <w:pPr>
        <w:keepNext w:val="0"/>
        <w:keepLines w:val="0"/>
        <w:pageBreakBefore w:val="0"/>
        <w:widowControl w:val="0"/>
        <w:kinsoku/>
        <w:wordWrap w:val="0"/>
        <w:overflowPunct/>
        <w:topLinePunct w:val="0"/>
        <w:autoSpaceDE/>
        <w:autoSpaceDN/>
        <w:bidi w:val="0"/>
        <w:adjustRightInd w:val="0"/>
        <w:snapToGrid w:val="0"/>
        <w:spacing w:line="540" w:lineRule="exact"/>
        <w:textAlignment w:val="auto"/>
        <w:rPr>
          <w:rFonts w:hint="eastAsia" w:ascii="Times New Roman" w:hAnsi="Times New Roman" w:eastAsia="仿宋_GB2312" w:cs="Times New Roman"/>
          <w:color w:val="auto"/>
          <w:sz w:val="32"/>
          <w:szCs w:val="32"/>
          <w:lang w:eastAsia="zh-CN"/>
        </w:rPr>
      </w:pPr>
    </w:p>
    <w:p w14:paraId="48A280E3">
      <w:pPr>
        <w:keepNext w:val="0"/>
        <w:keepLines w:val="0"/>
        <w:pageBreakBefore w:val="0"/>
        <w:widowControl w:val="0"/>
        <w:kinsoku/>
        <w:wordWrap w:val="0"/>
        <w:overflowPunct/>
        <w:topLinePunct w:val="0"/>
        <w:autoSpaceDE/>
        <w:autoSpaceDN/>
        <w:bidi w:val="0"/>
        <w:adjustRightInd w:val="0"/>
        <w:snapToGrid w:val="0"/>
        <w:spacing w:line="540" w:lineRule="exact"/>
        <w:textAlignment w:val="auto"/>
        <w:rPr>
          <w:rFonts w:hint="eastAsia" w:ascii="Times New Roman" w:hAnsi="Times New Roman" w:eastAsia="仿宋_GB2312" w:cs="Times New Roman"/>
          <w:color w:val="auto"/>
          <w:sz w:val="32"/>
          <w:szCs w:val="32"/>
          <w:lang w:eastAsia="zh-CN"/>
        </w:rPr>
      </w:pPr>
    </w:p>
    <w:p w14:paraId="430DE68D">
      <w:pPr>
        <w:keepNext w:val="0"/>
        <w:keepLines w:val="0"/>
        <w:pageBreakBefore w:val="0"/>
        <w:widowControl w:val="0"/>
        <w:kinsoku/>
        <w:wordWrap w:val="0"/>
        <w:overflowPunct/>
        <w:topLinePunct w:val="0"/>
        <w:autoSpaceDE/>
        <w:autoSpaceDN/>
        <w:bidi w:val="0"/>
        <w:adjustRightInd w:val="0"/>
        <w:snapToGrid w:val="0"/>
        <w:spacing w:line="540" w:lineRule="exact"/>
        <w:textAlignment w:val="auto"/>
        <w:rPr>
          <w:rFonts w:hint="eastAsia" w:ascii="Times New Roman" w:hAnsi="Times New Roman" w:eastAsia="仿宋_GB2312" w:cs="Times New Roman"/>
          <w:color w:val="auto"/>
          <w:sz w:val="32"/>
          <w:szCs w:val="32"/>
          <w:lang w:eastAsia="zh-CN"/>
        </w:rPr>
      </w:pPr>
    </w:p>
    <w:p w14:paraId="0215569B">
      <w:pPr>
        <w:keepNext w:val="0"/>
        <w:keepLines w:val="0"/>
        <w:pageBreakBefore w:val="0"/>
        <w:widowControl w:val="0"/>
        <w:kinsoku/>
        <w:wordWrap w:val="0"/>
        <w:overflowPunct/>
        <w:topLinePunct w:val="0"/>
        <w:autoSpaceDE/>
        <w:autoSpaceDN/>
        <w:bidi w:val="0"/>
        <w:adjustRightInd w:val="0"/>
        <w:snapToGrid w:val="0"/>
        <w:spacing w:line="540" w:lineRule="exact"/>
        <w:textAlignment w:val="auto"/>
        <w:rPr>
          <w:rFonts w:hint="eastAsia" w:ascii="Times New Roman" w:hAnsi="Times New Roman" w:eastAsia="仿宋_GB2312" w:cs="Times New Roman"/>
          <w:color w:val="auto"/>
          <w:sz w:val="32"/>
          <w:szCs w:val="32"/>
          <w:lang w:eastAsia="zh-CN"/>
        </w:rPr>
      </w:pPr>
    </w:p>
    <w:p w14:paraId="1C5D0D8D">
      <w:pPr>
        <w:keepNext w:val="0"/>
        <w:keepLines w:val="0"/>
        <w:pageBreakBefore w:val="0"/>
        <w:widowControl w:val="0"/>
        <w:kinsoku/>
        <w:wordWrap w:val="0"/>
        <w:overflowPunct/>
        <w:topLinePunct w:val="0"/>
        <w:autoSpaceDE/>
        <w:autoSpaceDN/>
        <w:bidi w:val="0"/>
        <w:adjustRightInd w:val="0"/>
        <w:snapToGrid w:val="0"/>
        <w:spacing w:line="540" w:lineRule="exact"/>
        <w:textAlignment w:val="auto"/>
        <w:rPr>
          <w:rFonts w:hint="eastAsia" w:ascii="Times New Roman" w:hAnsi="Times New Roman" w:eastAsia="仿宋_GB2312" w:cs="Times New Roman"/>
          <w:color w:val="auto"/>
          <w:sz w:val="32"/>
          <w:szCs w:val="32"/>
          <w:lang w:eastAsia="zh-CN"/>
        </w:rPr>
      </w:pPr>
    </w:p>
    <w:p w14:paraId="59C1F66D">
      <w:pPr>
        <w:keepNext w:val="0"/>
        <w:keepLines w:val="0"/>
        <w:pageBreakBefore w:val="0"/>
        <w:widowControl w:val="0"/>
        <w:kinsoku/>
        <w:wordWrap w:val="0"/>
        <w:overflowPunct/>
        <w:topLinePunct w:val="0"/>
        <w:autoSpaceDE/>
        <w:autoSpaceDN/>
        <w:bidi w:val="0"/>
        <w:adjustRightInd w:val="0"/>
        <w:snapToGrid w:val="0"/>
        <w:spacing w:line="540" w:lineRule="exact"/>
        <w:textAlignment w:val="auto"/>
        <w:rPr>
          <w:rFonts w:hint="eastAsia" w:ascii="Times New Roman" w:hAnsi="Times New Roman" w:eastAsia="仿宋_GB2312" w:cs="Times New Roman"/>
          <w:color w:val="auto"/>
          <w:sz w:val="32"/>
          <w:szCs w:val="32"/>
          <w:lang w:eastAsia="zh-CN"/>
        </w:rPr>
      </w:pPr>
    </w:p>
    <w:p w14:paraId="3D22EB6D">
      <w:pPr>
        <w:keepNext w:val="0"/>
        <w:keepLines w:val="0"/>
        <w:pageBreakBefore w:val="0"/>
        <w:widowControl w:val="0"/>
        <w:kinsoku/>
        <w:wordWrap w:val="0"/>
        <w:overflowPunct/>
        <w:topLinePunct w:val="0"/>
        <w:autoSpaceDE/>
        <w:autoSpaceDN/>
        <w:bidi w:val="0"/>
        <w:adjustRightInd w:val="0"/>
        <w:snapToGrid w:val="0"/>
        <w:spacing w:line="540" w:lineRule="exact"/>
        <w:textAlignment w:val="auto"/>
        <w:rPr>
          <w:rFonts w:hint="eastAsia" w:ascii="Times New Roman" w:hAnsi="Times New Roman" w:eastAsia="仿宋_GB2312" w:cs="Times New Roman"/>
          <w:color w:val="auto"/>
          <w:sz w:val="32"/>
          <w:szCs w:val="32"/>
          <w:lang w:eastAsia="zh-CN"/>
        </w:rPr>
      </w:pPr>
    </w:p>
    <w:p w14:paraId="628CA90F">
      <w:pPr>
        <w:keepNext w:val="0"/>
        <w:keepLines w:val="0"/>
        <w:pageBreakBefore w:val="0"/>
        <w:widowControl w:val="0"/>
        <w:kinsoku/>
        <w:wordWrap w:val="0"/>
        <w:overflowPunct/>
        <w:topLinePunct w:val="0"/>
        <w:autoSpaceDE/>
        <w:autoSpaceDN/>
        <w:bidi w:val="0"/>
        <w:adjustRightInd w:val="0"/>
        <w:snapToGrid w:val="0"/>
        <w:spacing w:line="540" w:lineRule="exact"/>
        <w:textAlignment w:val="auto"/>
        <w:rPr>
          <w:rFonts w:hint="eastAsia" w:ascii="Times New Roman" w:hAnsi="Times New Roman" w:eastAsia="仿宋_GB2312" w:cs="Times New Roman"/>
          <w:color w:val="auto"/>
          <w:sz w:val="32"/>
          <w:szCs w:val="32"/>
          <w:lang w:eastAsia="zh-CN"/>
        </w:rPr>
      </w:pPr>
    </w:p>
    <w:p w14:paraId="69CACB06">
      <w:pPr>
        <w:keepNext w:val="0"/>
        <w:keepLines w:val="0"/>
        <w:pageBreakBefore w:val="0"/>
        <w:widowControl w:val="0"/>
        <w:kinsoku/>
        <w:wordWrap w:val="0"/>
        <w:overflowPunct/>
        <w:topLinePunct w:val="0"/>
        <w:autoSpaceDE/>
        <w:autoSpaceDN/>
        <w:bidi w:val="0"/>
        <w:adjustRightInd w:val="0"/>
        <w:snapToGrid w:val="0"/>
        <w:spacing w:line="540" w:lineRule="exact"/>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抄送：连云港市海州生态环境局，</w:t>
      </w:r>
      <w:r>
        <w:rPr>
          <w:rFonts w:hint="eastAsia" w:eastAsia="仿宋_GB2312" w:cs="Times New Roman"/>
          <w:color w:val="auto"/>
          <w:sz w:val="32"/>
          <w:szCs w:val="32"/>
          <w:lang w:eastAsia="zh-CN"/>
        </w:rPr>
        <w:t>海州</w:t>
      </w:r>
      <w:r>
        <w:rPr>
          <w:rFonts w:hint="eastAsia" w:ascii="Times New Roman" w:hAnsi="Times New Roman" w:eastAsia="仿宋_GB2312" w:cs="Times New Roman"/>
          <w:color w:val="auto"/>
          <w:sz w:val="32"/>
          <w:szCs w:val="32"/>
          <w:lang w:eastAsia="zh-CN"/>
        </w:rPr>
        <w:t>工业园，</w:t>
      </w:r>
      <w:r>
        <w:rPr>
          <w:rFonts w:hint="eastAsia" w:eastAsia="仿宋_GB2312" w:cs="Times New Roman"/>
          <w:color w:val="auto"/>
          <w:sz w:val="32"/>
          <w:szCs w:val="32"/>
          <w:lang w:eastAsia="zh-CN"/>
        </w:rPr>
        <w:t>江苏仁环安全环保科技有限公司</w:t>
      </w:r>
    </w:p>
    <w:sectPr>
      <w:headerReference r:id="rId3" w:type="default"/>
      <w:footerReference r:id="rId4" w:type="default"/>
      <w:footerReference r:id="rId5" w:type="even"/>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CIDFont+F1">
    <w:altName w:val="Times New Roman"/>
    <w:panose1 w:val="00000000000000000000"/>
    <w:charset w:val="00"/>
    <w:family w:val="roman"/>
    <w:pitch w:val="default"/>
    <w:sig w:usb0="00000000" w:usb1="00000000" w:usb2="00000000"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6DCE9">
    <w:pPr>
      <w:pStyle w:val="6"/>
      <w:jc w:val="righ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PAGE   \* MERGEFORMAT</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lang w:val="zh-CN"/>
      </w:rPr>
      <w:t>3</w:t>
    </w:r>
    <w:r>
      <w:rPr>
        <w:rFonts w:hint="default"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w:t>
    </w:r>
  </w:p>
  <w:p w14:paraId="049A2038">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CBF48">
    <w:pPr>
      <w:pStyle w:val="6"/>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PAGE   \* MERGEFORMAT</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lang w:val="zh-CN"/>
      </w:rPr>
      <w:t>4</w:t>
    </w:r>
    <w:r>
      <w:rPr>
        <w:rFonts w:hint="default" w:ascii="Times New Roman" w:hAnsi="Times New Roman" w:eastAsia="仿宋_GB2312" w:cs="Times New Roman"/>
        <w:sz w:val="32"/>
        <w:szCs w:val="32"/>
      </w:rPr>
      <w:fldChar w:fldCharType="end"/>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w:t>
    </w:r>
  </w:p>
  <w:p w14:paraId="550BC8E6">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AA734">
    <w:pPr>
      <w:pStyle w:val="7"/>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zMzhhYjMxNzg4Nzg2N2JiODVkN2JiZTdhNGUyNTEifQ=="/>
  </w:docVars>
  <w:rsids>
    <w:rsidRoot w:val="00A33778"/>
    <w:rsid w:val="000059B3"/>
    <w:rsid w:val="00011597"/>
    <w:rsid w:val="00024404"/>
    <w:rsid w:val="00025971"/>
    <w:rsid w:val="00053016"/>
    <w:rsid w:val="00053BD9"/>
    <w:rsid w:val="00063BEE"/>
    <w:rsid w:val="00064CEA"/>
    <w:rsid w:val="00093DAE"/>
    <w:rsid w:val="000A4E84"/>
    <w:rsid w:val="000C2272"/>
    <w:rsid w:val="000C578E"/>
    <w:rsid w:val="000D5994"/>
    <w:rsid w:val="00100764"/>
    <w:rsid w:val="00101347"/>
    <w:rsid w:val="00104E77"/>
    <w:rsid w:val="00107B67"/>
    <w:rsid w:val="00123F43"/>
    <w:rsid w:val="00135FB3"/>
    <w:rsid w:val="0016210A"/>
    <w:rsid w:val="001660B3"/>
    <w:rsid w:val="0017326B"/>
    <w:rsid w:val="001777C6"/>
    <w:rsid w:val="001969C2"/>
    <w:rsid w:val="001A5080"/>
    <w:rsid w:val="001B3CA1"/>
    <w:rsid w:val="001C09A0"/>
    <w:rsid w:val="001C3C15"/>
    <w:rsid w:val="001D495D"/>
    <w:rsid w:val="001D4E75"/>
    <w:rsid w:val="001E0A52"/>
    <w:rsid w:val="001F0518"/>
    <w:rsid w:val="0021592F"/>
    <w:rsid w:val="00235633"/>
    <w:rsid w:val="00241825"/>
    <w:rsid w:val="00257185"/>
    <w:rsid w:val="0025762B"/>
    <w:rsid w:val="00260A29"/>
    <w:rsid w:val="00261377"/>
    <w:rsid w:val="00261868"/>
    <w:rsid w:val="00265830"/>
    <w:rsid w:val="00282A85"/>
    <w:rsid w:val="00290E82"/>
    <w:rsid w:val="002921D2"/>
    <w:rsid w:val="002962B7"/>
    <w:rsid w:val="002A12EE"/>
    <w:rsid w:val="002A305B"/>
    <w:rsid w:val="002B0374"/>
    <w:rsid w:val="002B7B42"/>
    <w:rsid w:val="002C1DD6"/>
    <w:rsid w:val="002C215D"/>
    <w:rsid w:val="002D59FE"/>
    <w:rsid w:val="002F2386"/>
    <w:rsid w:val="002F52C1"/>
    <w:rsid w:val="00307056"/>
    <w:rsid w:val="00317D8A"/>
    <w:rsid w:val="00326697"/>
    <w:rsid w:val="003368FE"/>
    <w:rsid w:val="00346599"/>
    <w:rsid w:val="00353552"/>
    <w:rsid w:val="0036127B"/>
    <w:rsid w:val="00362AAE"/>
    <w:rsid w:val="003638F2"/>
    <w:rsid w:val="003643FE"/>
    <w:rsid w:val="00367E1D"/>
    <w:rsid w:val="00370A26"/>
    <w:rsid w:val="00374855"/>
    <w:rsid w:val="00374CCA"/>
    <w:rsid w:val="003762C7"/>
    <w:rsid w:val="00381859"/>
    <w:rsid w:val="00395332"/>
    <w:rsid w:val="003A42C6"/>
    <w:rsid w:val="003B374D"/>
    <w:rsid w:val="003B6CB1"/>
    <w:rsid w:val="003C02D9"/>
    <w:rsid w:val="003D3681"/>
    <w:rsid w:val="003E3B7D"/>
    <w:rsid w:val="003F3575"/>
    <w:rsid w:val="00400B23"/>
    <w:rsid w:val="004027F2"/>
    <w:rsid w:val="0040331B"/>
    <w:rsid w:val="00405D67"/>
    <w:rsid w:val="004067A1"/>
    <w:rsid w:val="00407980"/>
    <w:rsid w:val="0041401B"/>
    <w:rsid w:val="0042713D"/>
    <w:rsid w:val="0043253D"/>
    <w:rsid w:val="004512EF"/>
    <w:rsid w:val="004639D4"/>
    <w:rsid w:val="00467A4C"/>
    <w:rsid w:val="00484C9A"/>
    <w:rsid w:val="004A2CE3"/>
    <w:rsid w:val="004A3D8B"/>
    <w:rsid w:val="004A5EF5"/>
    <w:rsid w:val="004B2573"/>
    <w:rsid w:val="004B4849"/>
    <w:rsid w:val="004B7C59"/>
    <w:rsid w:val="004C3DC8"/>
    <w:rsid w:val="004C426E"/>
    <w:rsid w:val="004C634C"/>
    <w:rsid w:val="004F79AA"/>
    <w:rsid w:val="00510EAF"/>
    <w:rsid w:val="00522A1F"/>
    <w:rsid w:val="00534A5E"/>
    <w:rsid w:val="0054249B"/>
    <w:rsid w:val="005432FD"/>
    <w:rsid w:val="00543541"/>
    <w:rsid w:val="0054508C"/>
    <w:rsid w:val="005472CC"/>
    <w:rsid w:val="005534FB"/>
    <w:rsid w:val="00556D6E"/>
    <w:rsid w:val="00556D9C"/>
    <w:rsid w:val="00562D41"/>
    <w:rsid w:val="00564609"/>
    <w:rsid w:val="00567E19"/>
    <w:rsid w:val="00571E37"/>
    <w:rsid w:val="00573300"/>
    <w:rsid w:val="00580144"/>
    <w:rsid w:val="00582329"/>
    <w:rsid w:val="0058444E"/>
    <w:rsid w:val="005976E9"/>
    <w:rsid w:val="00597F6E"/>
    <w:rsid w:val="005A206F"/>
    <w:rsid w:val="005A68E6"/>
    <w:rsid w:val="005B5556"/>
    <w:rsid w:val="005C708E"/>
    <w:rsid w:val="005C79FA"/>
    <w:rsid w:val="005D4278"/>
    <w:rsid w:val="005D577F"/>
    <w:rsid w:val="005D608E"/>
    <w:rsid w:val="005D75CE"/>
    <w:rsid w:val="005E3D4A"/>
    <w:rsid w:val="005E5075"/>
    <w:rsid w:val="005E7EE4"/>
    <w:rsid w:val="00600124"/>
    <w:rsid w:val="00600CB7"/>
    <w:rsid w:val="00600FF3"/>
    <w:rsid w:val="006124A7"/>
    <w:rsid w:val="00613B2D"/>
    <w:rsid w:val="00614D66"/>
    <w:rsid w:val="00615520"/>
    <w:rsid w:val="006203E0"/>
    <w:rsid w:val="0062558B"/>
    <w:rsid w:val="00626C16"/>
    <w:rsid w:val="006301DB"/>
    <w:rsid w:val="00633E6D"/>
    <w:rsid w:val="006433DC"/>
    <w:rsid w:val="00651D5A"/>
    <w:rsid w:val="006537A6"/>
    <w:rsid w:val="00667546"/>
    <w:rsid w:val="006724FF"/>
    <w:rsid w:val="0068144C"/>
    <w:rsid w:val="0068205A"/>
    <w:rsid w:val="006833FD"/>
    <w:rsid w:val="00683F0D"/>
    <w:rsid w:val="0069146E"/>
    <w:rsid w:val="00693BE2"/>
    <w:rsid w:val="006B0EBD"/>
    <w:rsid w:val="006B3023"/>
    <w:rsid w:val="006B618C"/>
    <w:rsid w:val="006C0A17"/>
    <w:rsid w:val="006C6A61"/>
    <w:rsid w:val="006D318A"/>
    <w:rsid w:val="006D77D9"/>
    <w:rsid w:val="006E2E1C"/>
    <w:rsid w:val="006F0110"/>
    <w:rsid w:val="006F2A51"/>
    <w:rsid w:val="006F2E67"/>
    <w:rsid w:val="0070153B"/>
    <w:rsid w:val="00701637"/>
    <w:rsid w:val="00706723"/>
    <w:rsid w:val="0071350A"/>
    <w:rsid w:val="00723A44"/>
    <w:rsid w:val="00760498"/>
    <w:rsid w:val="0077176D"/>
    <w:rsid w:val="00777168"/>
    <w:rsid w:val="00783DDD"/>
    <w:rsid w:val="007927CE"/>
    <w:rsid w:val="0079391A"/>
    <w:rsid w:val="00793CFE"/>
    <w:rsid w:val="007A266D"/>
    <w:rsid w:val="007A399B"/>
    <w:rsid w:val="007C06F7"/>
    <w:rsid w:val="007C1BC7"/>
    <w:rsid w:val="007C565A"/>
    <w:rsid w:val="007D085C"/>
    <w:rsid w:val="007E0DCB"/>
    <w:rsid w:val="007E1360"/>
    <w:rsid w:val="007E733A"/>
    <w:rsid w:val="007F4E71"/>
    <w:rsid w:val="007F61FE"/>
    <w:rsid w:val="00811136"/>
    <w:rsid w:val="0081690F"/>
    <w:rsid w:val="008201FA"/>
    <w:rsid w:val="0082660A"/>
    <w:rsid w:val="00833F05"/>
    <w:rsid w:val="008540EA"/>
    <w:rsid w:val="00862485"/>
    <w:rsid w:val="00863CBE"/>
    <w:rsid w:val="0086596E"/>
    <w:rsid w:val="008820E1"/>
    <w:rsid w:val="00883310"/>
    <w:rsid w:val="0088750A"/>
    <w:rsid w:val="008A0C9D"/>
    <w:rsid w:val="008A7C6E"/>
    <w:rsid w:val="008C16B9"/>
    <w:rsid w:val="008C38AA"/>
    <w:rsid w:val="008C5AE4"/>
    <w:rsid w:val="008C62CF"/>
    <w:rsid w:val="008D1948"/>
    <w:rsid w:val="008E64E4"/>
    <w:rsid w:val="00901626"/>
    <w:rsid w:val="00920F4F"/>
    <w:rsid w:val="00926B65"/>
    <w:rsid w:val="0093382E"/>
    <w:rsid w:val="0093420B"/>
    <w:rsid w:val="00940A92"/>
    <w:rsid w:val="00946B79"/>
    <w:rsid w:val="00970CD7"/>
    <w:rsid w:val="00972A65"/>
    <w:rsid w:val="009849DD"/>
    <w:rsid w:val="009939C6"/>
    <w:rsid w:val="00993BEE"/>
    <w:rsid w:val="009946BA"/>
    <w:rsid w:val="00994F6F"/>
    <w:rsid w:val="009A3662"/>
    <w:rsid w:val="009B2D48"/>
    <w:rsid w:val="009B5571"/>
    <w:rsid w:val="009C4E8D"/>
    <w:rsid w:val="009D1977"/>
    <w:rsid w:val="009F7FF0"/>
    <w:rsid w:val="00A07623"/>
    <w:rsid w:val="00A16446"/>
    <w:rsid w:val="00A17A7E"/>
    <w:rsid w:val="00A17D88"/>
    <w:rsid w:val="00A3090E"/>
    <w:rsid w:val="00A33778"/>
    <w:rsid w:val="00A421D0"/>
    <w:rsid w:val="00A42B77"/>
    <w:rsid w:val="00A50CBE"/>
    <w:rsid w:val="00A531E2"/>
    <w:rsid w:val="00A56529"/>
    <w:rsid w:val="00A6111D"/>
    <w:rsid w:val="00A61F6F"/>
    <w:rsid w:val="00A65B48"/>
    <w:rsid w:val="00A73025"/>
    <w:rsid w:val="00A93F02"/>
    <w:rsid w:val="00AA2532"/>
    <w:rsid w:val="00AB53A1"/>
    <w:rsid w:val="00AC429E"/>
    <w:rsid w:val="00AC4B54"/>
    <w:rsid w:val="00AD51BC"/>
    <w:rsid w:val="00AD716F"/>
    <w:rsid w:val="00AD7338"/>
    <w:rsid w:val="00AF5797"/>
    <w:rsid w:val="00AF5AC2"/>
    <w:rsid w:val="00B045D2"/>
    <w:rsid w:val="00B10318"/>
    <w:rsid w:val="00B123E3"/>
    <w:rsid w:val="00B30404"/>
    <w:rsid w:val="00B32FAC"/>
    <w:rsid w:val="00B400FA"/>
    <w:rsid w:val="00B42752"/>
    <w:rsid w:val="00B45B89"/>
    <w:rsid w:val="00B579FB"/>
    <w:rsid w:val="00B660D9"/>
    <w:rsid w:val="00B669CD"/>
    <w:rsid w:val="00B71512"/>
    <w:rsid w:val="00B7468C"/>
    <w:rsid w:val="00B876BD"/>
    <w:rsid w:val="00BB2551"/>
    <w:rsid w:val="00BB2E4A"/>
    <w:rsid w:val="00BC02DA"/>
    <w:rsid w:val="00BC226E"/>
    <w:rsid w:val="00BC26B6"/>
    <w:rsid w:val="00BC287A"/>
    <w:rsid w:val="00BC2BF3"/>
    <w:rsid w:val="00BD3991"/>
    <w:rsid w:val="00BD5126"/>
    <w:rsid w:val="00BE1663"/>
    <w:rsid w:val="00BE2C25"/>
    <w:rsid w:val="00BE7C89"/>
    <w:rsid w:val="00BF647C"/>
    <w:rsid w:val="00C11AD3"/>
    <w:rsid w:val="00C12A2C"/>
    <w:rsid w:val="00C131C7"/>
    <w:rsid w:val="00C347BB"/>
    <w:rsid w:val="00C41102"/>
    <w:rsid w:val="00C420E3"/>
    <w:rsid w:val="00C511BD"/>
    <w:rsid w:val="00C51C9E"/>
    <w:rsid w:val="00C55301"/>
    <w:rsid w:val="00C61C17"/>
    <w:rsid w:val="00C66A97"/>
    <w:rsid w:val="00C732AD"/>
    <w:rsid w:val="00C8219B"/>
    <w:rsid w:val="00C82A70"/>
    <w:rsid w:val="00C9008A"/>
    <w:rsid w:val="00C906A1"/>
    <w:rsid w:val="00CB4645"/>
    <w:rsid w:val="00CB61D3"/>
    <w:rsid w:val="00CC57D3"/>
    <w:rsid w:val="00CE46DF"/>
    <w:rsid w:val="00CF460E"/>
    <w:rsid w:val="00CF7050"/>
    <w:rsid w:val="00D042F1"/>
    <w:rsid w:val="00D213FC"/>
    <w:rsid w:val="00D223F7"/>
    <w:rsid w:val="00D22A50"/>
    <w:rsid w:val="00D22F21"/>
    <w:rsid w:val="00D23755"/>
    <w:rsid w:val="00D23E11"/>
    <w:rsid w:val="00D33DD0"/>
    <w:rsid w:val="00D3713D"/>
    <w:rsid w:val="00D40D33"/>
    <w:rsid w:val="00D42CBA"/>
    <w:rsid w:val="00D44424"/>
    <w:rsid w:val="00D46BD1"/>
    <w:rsid w:val="00D53955"/>
    <w:rsid w:val="00D53E9E"/>
    <w:rsid w:val="00D570CE"/>
    <w:rsid w:val="00D62AD7"/>
    <w:rsid w:val="00D67148"/>
    <w:rsid w:val="00D719D0"/>
    <w:rsid w:val="00D905DB"/>
    <w:rsid w:val="00D90B5D"/>
    <w:rsid w:val="00D91A79"/>
    <w:rsid w:val="00D9560D"/>
    <w:rsid w:val="00D97678"/>
    <w:rsid w:val="00DA1275"/>
    <w:rsid w:val="00DA44F5"/>
    <w:rsid w:val="00DC13E3"/>
    <w:rsid w:val="00DC7E29"/>
    <w:rsid w:val="00DD2A5E"/>
    <w:rsid w:val="00DD65F2"/>
    <w:rsid w:val="00DE39E3"/>
    <w:rsid w:val="00DF0747"/>
    <w:rsid w:val="00DF22F5"/>
    <w:rsid w:val="00DF2F35"/>
    <w:rsid w:val="00E1320E"/>
    <w:rsid w:val="00E33956"/>
    <w:rsid w:val="00E34EF0"/>
    <w:rsid w:val="00E3528B"/>
    <w:rsid w:val="00E37556"/>
    <w:rsid w:val="00E42D87"/>
    <w:rsid w:val="00E45575"/>
    <w:rsid w:val="00E47122"/>
    <w:rsid w:val="00E547F0"/>
    <w:rsid w:val="00E604A5"/>
    <w:rsid w:val="00E6260D"/>
    <w:rsid w:val="00E711B1"/>
    <w:rsid w:val="00E73446"/>
    <w:rsid w:val="00E73E7D"/>
    <w:rsid w:val="00E76881"/>
    <w:rsid w:val="00E91BFB"/>
    <w:rsid w:val="00EA0963"/>
    <w:rsid w:val="00EB0964"/>
    <w:rsid w:val="00EB1656"/>
    <w:rsid w:val="00EC04C8"/>
    <w:rsid w:val="00EC6178"/>
    <w:rsid w:val="00EC6B70"/>
    <w:rsid w:val="00ED5BDE"/>
    <w:rsid w:val="00F006B9"/>
    <w:rsid w:val="00F13008"/>
    <w:rsid w:val="00F1496D"/>
    <w:rsid w:val="00F2496E"/>
    <w:rsid w:val="00F355C7"/>
    <w:rsid w:val="00F436AA"/>
    <w:rsid w:val="00F5489B"/>
    <w:rsid w:val="00F6416E"/>
    <w:rsid w:val="00F667ED"/>
    <w:rsid w:val="00F9009F"/>
    <w:rsid w:val="00F90845"/>
    <w:rsid w:val="00F9330E"/>
    <w:rsid w:val="00FA07B3"/>
    <w:rsid w:val="00FA3C8F"/>
    <w:rsid w:val="00FA43AC"/>
    <w:rsid w:val="00FA6748"/>
    <w:rsid w:val="00FB14AF"/>
    <w:rsid w:val="00FB62B1"/>
    <w:rsid w:val="00FB731F"/>
    <w:rsid w:val="00FD0226"/>
    <w:rsid w:val="00FD308A"/>
    <w:rsid w:val="00FD66A5"/>
    <w:rsid w:val="00FE57C3"/>
    <w:rsid w:val="00FE628A"/>
    <w:rsid w:val="00FE753E"/>
    <w:rsid w:val="00FF5E04"/>
    <w:rsid w:val="00FF6740"/>
    <w:rsid w:val="02427F54"/>
    <w:rsid w:val="02714395"/>
    <w:rsid w:val="02BD2A70"/>
    <w:rsid w:val="02CC3BF2"/>
    <w:rsid w:val="02DD1A2B"/>
    <w:rsid w:val="02E35293"/>
    <w:rsid w:val="03483348"/>
    <w:rsid w:val="03CC0C05"/>
    <w:rsid w:val="040E27E3"/>
    <w:rsid w:val="04934A97"/>
    <w:rsid w:val="05151950"/>
    <w:rsid w:val="055A22CE"/>
    <w:rsid w:val="057228FE"/>
    <w:rsid w:val="05792019"/>
    <w:rsid w:val="058D7738"/>
    <w:rsid w:val="05BB035D"/>
    <w:rsid w:val="06260797"/>
    <w:rsid w:val="0651540A"/>
    <w:rsid w:val="06606BFB"/>
    <w:rsid w:val="07107E0D"/>
    <w:rsid w:val="077A312A"/>
    <w:rsid w:val="07943000"/>
    <w:rsid w:val="07A1523B"/>
    <w:rsid w:val="07A5520D"/>
    <w:rsid w:val="07BE7D13"/>
    <w:rsid w:val="07C92B50"/>
    <w:rsid w:val="07D75D82"/>
    <w:rsid w:val="07DC220E"/>
    <w:rsid w:val="07F669DC"/>
    <w:rsid w:val="082C3E90"/>
    <w:rsid w:val="08DC4C5E"/>
    <w:rsid w:val="09183FFC"/>
    <w:rsid w:val="09293C1C"/>
    <w:rsid w:val="09DA6CC4"/>
    <w:rsid w:val="09E85132"/>
    <w:rsid w:val="0A171C4C"/>
    <w:rsid w:val="0A365EA1"/>
    <w:rsid w:val="0A587D41"/>
    <w:rsid w:val="0B213C5F"/>
    <w:rsid w:val="0BA92DF2"/>
    <w:rsid w:val="0C22507E"/>
    <w:rsid w:val="0CA67923"/>
    <w:rsid w:val="0CD475BA"/>
    <w:rsid w:val="0D34281B"/>
    <w:rsid w:val="0D3D7A0C"/>
    <w:rsid w:val="0D817B82"/>
    <w:rsid w:val="0EBE12DF"/>
    <w:rsid w:val="0ED604C7"/>
    <w:rsid w:val="0F7A6146"/>
    <w:rsid w:val="0F7A7A09"/>
    <w:rsid w:val="0FDF5034"/>
    <w:rsid w:val="106C731A"/>
    <w:rsid w:val="11094648"/>
    <w:rsid w:val="113B2D40"/>
    <w:rsid w:val="1160057C"/>
    <w:rsid w:val="119B4F8B"/>
    <w:rsid w:val="12626EF1"/>
    <w:rsid w:val="12B33874"/>
    <w:rsid w:val="12FA4492"/>
    <w:rsid w:val="136450E5"/>
    <w:rsid w:val="136A730B"/>
    <w:rsid w:val="13720CF0"/>
    <w:rsid w:val="13CE7899"/>
    <w:rsid w:val="141334FE"/>
    <w:rsid w:val="14312867"/>
    <w:rsid w:val="15C3133C"/>
    <w:rsid w:val="1678022A"/>
    <w:rsid w:val="168E3162"/>
    <w:rsid w:val="16A11295"/>
    <w:rsid w:val="16B910A6"/>
    <w:rsid w:val="16D14840"/>
    <w:rsid w:val="175E40E7"/>
    <w:rsid w:val="17F32726"/>
    <w:rsid w:val="18A8725F"/>
    <w:rsid w:val="18B03A11"/>
    <w:rsid w:val="18F7519C"/>
    <w:rsid w:val="19A52E4A"/>
    <w:rsid w:val="1A051B3B"/>
    <w:rsid w:val="1A143B2C"/>
    <w:rsid w:val="1A9133CF"/>
    <w:rsid w:val="1AA166D6"/>
    <w:rsid w:val="1AEB31F7"/>
    <w:rsid w:val="1AFF2A2E"/>
    <w:rsid w:val="1B1262BE"/>
    <w:rsid w:val="1B226512"/>
    <w:rsid w:val="1B737A55"/>
    <w:rsid w:val="1B7F7052"/>
    <w:rsid w:val="1B934AB5"/>
    <w:rsid w:val="1BC31046"/>
    <w:rsid w:val="1D0460DA"/>
    <w:rsid w:val="1D2301F8"/>
    <w:rsid w:val="1D541B93"/>
    <w:rsid w:val="1D5A3F4C"/>
    <w:rsid w:val="1D5B4711"/>
    <w:rsid w:val="1D8611E5"/>
    <w:rsid w:val="1DB44F31"/>
    <w:rsid w:val="1E78648F"/>
    <w:rsid w:val="1EBC3B3D"/>
    <w:rsid w:val="1F047DC4"/>
    <w:rsid w:val="1F270046"/>
    <w:rsid w:val="1F2779A5"/>
    <w:rsid w:val="1F470500"/>
    <w:rsid w:val="1F5617BC"/>
    <w:rsid w:val="1F611967"/>
    <w:rsid w:val="1F982448"/>
    <w:rsid w:val="20651585"/>
    <w:rsid w:val="206B3164"/>
    <w:rsid w:val="20913F51"/>
    <w:rsid w:val="20BF0C96"/>
    <w:rsid w:val="20CF6B85"/>
    <w:rsid w:val="21920880"/>
    <w:rsid w:val="219422DC"/>
    <w:rsid w:val="21FF14A3"/>
    <w:rsid w:val="22016B19"/>
    <w:rsid w:val="22131D96"/>
    <w:rsid w:val="22205764"/>
    <w:rsid w:val="22714212"/>
    <w:rsid w:val="23022C86"/>
    <w:rsid w:val="23733FB9"/>
    <w:rsid w:val="23A45F21"/>
    <w:rsid w:val="23A518B2"/>
    <w:rsid w:val="23EF5E28"/>
    <w:rsid w:val="24204E9C"/>
    <w:rsid w:val="24977834"/>
    <w:rsid w:val="25537BFE"/>
    <w:rsid w:val="26303910"/>
    <w:rsid w:val="263F0183"/>
    <w:rsid w:val="266F6CBA"/>
    <w:rsid w:val="27096DA5"/>
    <w:rsid w:val="27222275"/>
    <w:rsid w:val="275B283A"/>
    <w:rsid w:val="275E732F"/>
    <w:rsid w:val="27702CEA"/>
    <w:rsid w:val="278E0E5A"/>
    <w:rsid w:val="27CD0233"/>
    <w:rsid w:val="283830DC"/>
    <w:rsid w:val="284E5E91"/>
    <w:rsid w:val="28AD5878"/>
    <w:rsid w:val="28C57065"/>
    <w:rsid w:val="28C770F6"/>
    <w:rsid w:val="28CD5F1A"/>
    <w:rsid w:val="28E05B40"/>
    <w:rsid w:val="28EB1F84"/>
    <w:rsid w:val="28F5606D"/>
    <w:rsid w:val="297F36A5"/>
    <w:rsid w:val="29825CDB"/>
    <w:rsid w:val="2A1100C6"/>
    <w:rsid w:val="2A407808"/>
    <w:rsid w:val="2A485A26"/>
    <w:rsid w:val="2AB71D51"/>
    <w:rsid w:val="2AC11AAE"/>
    <w:rsid w:val="2ADE7F6A"/>
    <w:rsid w:val="2B45743A"/>
    <w:rsid w:val="2C26606D"/>
    <w:rsid w:val="2C8E1915"/>
    <w:rsid w:val="2D012636"/>
    <w:rsid w:val="2D347973"/>
    <w:rsid w:val="2DC0604D"/>
    <w:rsid w:val="2E271C28"/>
    <w:rsid w:val="2E3E22B3"/>
    <w:rsid w:val="2EC82DF9"/>
    <w:rsid w:val="2F124686"/>
    <w:rsid w:val="2F685A57"/>
    <w:rsid w:val="2F6B1FE9"/>
    <w:rsid w:val="30594C7A"/>
    <w:rsid w:val="309114BF"/>
    <w:rsid w:val="30C154B5"/>
    <w:rsid w:val="30E028E1"/>
    <w:rsid w:val="312312DE"/>
    <w:rsid w:val="314A2E16"/>
    <w:rsid w:val="317E4062"/>
    <w:rsid w:val="31801BB8"/>
    <w:rsid w:val="31897D10"/>
    <w:rsid w:val="31BE01A6"/>
    <w:rsid w:val="32026C34"/>
    <w:rsid w:val="33365E3E"/>
    <w:rsid w:val="33935CC2"/>
    <w:rsid w:val="33953FC3"/>
    <w:rsid w:val="35784CBC"/>
    <w:rsid w:val="35D02BA5"/>
    <w:rsid w:val="35E054DE"/>
    <w:rsid w:val="35EF1C9A"/>
    <w:rsid w:val="35F52289"/>
    <w:rsid w:val="35FC7E3E"/>
    <w:rsid w:val="3608731A"/>
    <w:rsid w:val="36421CF5"/>
    <w:rsid w:val="36533F02"/>
    <w:rsid w:val="36637EBD"/>
    <w:rsid w:val="36913DF4"/>
    <w:rsid w:val="36962041"/>
    <w:rsid w:val="36C02C1A"/>
    <w:rsid w:val="36D27D8D"/>
    <w:rsid w:val="36DF1167"/>
    <w:rsid w:val="36E27034"/>
    <w:rsid w:val="38096119"/>
    <w:rsid w:val="382F1DCE"/>
    <w:rsid w:val="383E3BD1"/>
    <w:rsid w:val="38DE012E"/>
    <w:rsid w:val="39157076"/>
    <w:rsid w:val="3929719C"/>
    <w:rsid w:val="395B264C"/>
    <w:rsid w:val="39942EF0"/>
    <w:rsid w:val="39A32B05"/>
    <w:rsid w:val="3A742699"/>
    <w:rsid w:val="3A8D6C4A"/>
    <w:rsid w:val="3ACB0D0D"/>
    <w:rsid w:val="3B170421"/>
    <w:rsid w:val="3B4B24FC"/>
    <w:rsid w:val="3B8D4AB8"/>
    <w:rsid w:val="3BB06EA2"/>
    <w:rsid w:val="3C21415B"/>
    <w:rsid w:val="3C771FCD"/>
    <w:rsid w:val="3CB7243C"/>
    <w:rsid w:val="3CFF1176"/>
    <w:rsid w:val="3DDC56F4"/>
    <w:rsid w:val="3DDE45B1"/>
    <w:rsid w:val="3DEF2017"/>
    <w:rsid w:val="3DFC7262"/>
    <w:rsid w:val="3E1C3502"/>
    <w:rsid w:val="3E88487C"/>
    <w:rsid w:val="3E9E4FF9"/>
    <w:rsid w:val="3EE80F60"/>
    <w:rsid w:val="3EF038F1"/>
    <w:rsid w:val="3F203ED9"/>
    <w:rsid w:val="3F6A6C05"/>
    <w:rsid w:val="3F7647BE"/>
    <w:rsid w:val="3FD9166E"/>
    <w:rsid w:val="402045AD"/>
    <w:rsid w:val="403C7A85"/>
    <w:rsid w:val="41AD22F0"/>
    <w:rsid w:val="41D80D76"/>
    <w:rsid w:val="41DE690D"/>
    <w:rsid w:val="4223468F"/>
    <w:rsid w:val="425F1A84"/>
    <w:rsid w:val="42E06D32"/>
    <w:rsid w:val="43002781"/>
    <w:rsid w:val="43386225"/>
    <w:rsid w:val="43394E3A"/>
    <w:rsid w:val="4373550D"/>
    <w:rsid w:val="445B4E7C"/>
    <w:rsid w:val="448137D8"/>
    <w:rsid w:val="450F618C"/>
    <w:rsid w:val="453673AB"/>
    <w:rsid w:val="461F5BAF"/>
    <w:rsid w:val="468477C0"/>
    <w:rsid w:val="46B7486B"/>
    <w:rsid w:val="46BD7176"/>
    <w:rsid w:val="46C706EC"/>
    <w:rsid w:val="470D6864"/>
    <w:rsid w:val="472E597E"/>
    <w:rsid w:val="473D3E13"/>
    <w:rsid w:val="4790501D"/>
    <w:rsid w:val="47B70069"/>
    <w:rsid w:val="483376F0"/>
    <w:rsid w:val="488E4C9D"/>
    <w:rsid w:val="489E65E7"/>
    <w:rsid w:val="48E704DA"/>
    <w:rsid w:val="491E3B82"/>
    <w:rsid w:val="49396F88"/>
    <w:rsid w:val="49425710"/>
    <w:rsid w:val="49521DF7"/>
    <w:rsid w:val="49BD45E1"/>
    <w:rsid w:val="49BE5A77"/>
    <w:rsid w:val="49C34E42"/>
    <w:rsid w:val="49DE63B9"/>
    <w:rsid w:val="4A0E4826"/>
    <w:rsid w:val="4A9B19DD"/>
    <w:rsid w:val="4B2F4073"/>
    <w:rsid w:val="4B554699"/>
    <w:rsid w:val="4B744305"/>
    <w:rsid w:val="4C043151"/>
    <w:rsid w:val="4C5D11DF"/>
    <w:rsid w:val="4C9B3C21"/>
    <w:rsid w:val="4CBF0E49"/>
    <w:rsid w:val="4CC529EA"/>
    <w:rsid w:val="4CE11DC3"/>
    <w:rsid w:val="4D38012C"/>
    <w:rsid w:val="4D6D6D62"/>
    <w:rsid w:val="4D7F33D7"/>
    <w:rsid w:val="4D852E94"/>
    <w:rsid w:val="4D8C33FE"/>
    <w:rsid w:val="4DCB6336"/>
    <w:rsid w:val="4DCC5629"/>
    <w:rsid w:val="4DF30558"/>
    <w:rsid w:val="4DFA2A19"/>
    <w:rsid w:val="4DFF44DA"/>
    <w:rsid w:val="4E12358D"/>
    <w:rsid w:val="4E192EE4"/>
    <w:rsid w:val="4E26494C"/>
    <w:rsid w:val="4EE47996"/>
    <w:rsid w:val="4EF16DED"/>
    <w:rsid w:val="4F250303"/>
    <w:rsid w:val="4F48561C"/>
    <w:rsid w:val="4F6B3034"/>
    <w:rsid w:val="4FA7250F"/>
    <w:rsid w:val="4FBB3F4B"/>
    <w:rsid w:val="4FC84E27"/>
    <w:rsid w:val="507704E4"/>
    <w:rsid w:val="508825A3"/>
    <w:rsid w:val="50946DC2"/>
    <w:rsid w:val="509727E6"/>
    <w:rsid w:val="50B94D10"/>
    <w:rsid w:val="50E84A9E"/>
    <w:rsid w:val="51023978"/>
    <w:rsid w:val="51565B12"/>
    <w:rsid w:val="5184720E"/>
    <w:rsid w:val="519503D4"/>
    <w:rsid w:val="51A84C41"/>
    <w:rsid w:val="51AC096F"/>
    <w:rsid w:val="51CD4504"/>
    <w:rsid w:val="52035925"/>
    <w:rsid w:val="524C3BDA"/>
    <w:rsid w:val="52A42D7D"/>
    <w:rsid w:val="53670B95"/>
    <w:rsid w:val="536C10BC"/>
    <w:rsid w:val="55B51DB9"/>
    <w:rsid w:val="55DA1B48"/>
    <w:rsid w:val="560F4542"/>
    <w:rsid w:val="56882F23"/>
    <w:rsid w:val="56CD1D6A"/>
    <w:rsid w:val="57266671"/>
    <w:rsid w:val="573C2861"/>
    <w:rsid w:val="57BD6FD6"/>
    <w:rsid w:val="584B0697"/>
    <w:rsid w:val="58B547C1"/>
    <w:rsid w:val="58CC6F8B"/>
    <w:rsid w:val="590C30E5"/>
    <w:rsid w:val="59B3653F"/>
    <w:rsid w:val="5A516701"/>
    <w:rsid w:val="5B421396"/>
    <w:rsid w:val="5B5A4B95"/>
    <w:rsid w:val="5BC42CC1"/>
    <w:rsid w:val="5BC87CF7"/>
    <w:rsid w:val="5BCE2AF0"/>
    <w:rsid w:val="5CF90D64"/>
    <w:rsid w:val="5D20477F"/>
    <w:rsid w:val="5D652D23"/>
    <w:rsid w:val="5D6879E4"/>
    <w:rsid w:val="5D883BE2"/>
    <w:rsid w:val="5D8C60F9"/>
    <w:rsid w:val="5D9D62D5"/>
    <w:rsid w:val="5DA36927"/>
    <w:rsid w:val="5DC32E6C"/>
    <w:rsid w:val="5E9D7B9B"/>
    <w:rsid w:val="5EB160D1"/>
    <w:rsid w:val="5F2E2567"/>
    <w:rsid w:val="5FBF1264"/>
    <w:rsid w:val="5FDB5661"/>
    <w:rsid w:val="6094062F"/>
    <w:rsid w:val="60BB607C"/>
    <w:rsid w:val="614705E1"/>
    <w:rsid w:val="61D770D4"/>
    <w:rsid w:val="61E94B7F"/>
    <w:rsid w:val="624F23FA"/>
    <w:rsid w:val="625E2039"/>
    <w:rsid w:val="629372B1"/>
    <w:rsid w:val="6295012C"/>
    <w:rsid w:val="63D601EE"/>
    <w:rsid w:val="648275DD"/>
    <w:rsid w:val="6493693E"/>
    <w:rsid w:val="64DB4F3F"/>
    <w:rsid w:val="651925F1"/>
    <w:rsid w:val="655E14F4"/>
    <w:rsid w:val="657C7D98"/>
    <w:rsid w:val="65863A08"/>
    <w:rsid w:val="662B03CC"/>
    <w:rsid w:val="66772075"/>
    <w:rsid w:val="66863951"/>
    <w:rsid w:val="673937DC"/>
    <w:rsid w:val="67591C5B"/>
    <w:rsid w:val="675C1401"/>
    <w:rsid w:val="67F80D9E"/>
    <w:rsid w:val="68160942"/>
    <w:rsid w:val="68293EC4"/>
    <w:rsid w:val="68716FB6"/>
    <w:rsid w:val="68956952"/>
    <w:rsid w:val="68B42C2B"/>
    <w:rsid w:val="68CB0E27"/>
    <w:rsid w:val="68D35CC2"/>
    <w:rsid w:val="69074555"/>
    <w:rsid w:val="69D177F8"/>
    <w:rsid w:val="69D34437"/>
    <w:rsid w:val="6ACF1D7C"/>
    <w:rsid w:val="6ADC731B"/>
    <w:rsid w:val="6B4D1FC7"/>
    <w:rsid w:val="6BC0405E"/>
    <w:rsid w:val="6C4B643E"/>
    <w:rsid w:val="6C960BD5"/>
    <w:rsid w:val="6C9A56E0"/>
    <w:rsid w:val="6D1B5B49"/>
    <w:rsid w:val="6D1C60F5"/>
    <w:rsid w:val="6D774AC9"/>
    <w:rsid w:val="6DF4331A"/>
    <w:rsid w:val="6E2039C3"/>
    <w:rsid w:val="6E9D32B2"/>
    <w:rsid w:val="6EBD1212"/>
    <w:rsid w:val="6F003BC6"/>
    <w:rsid w:val="6F7A0FB6"/>
    <w:rsid w:val="6F9603E0"/>
    <w:rsid w:val="6FD17CFF"/>
    <w:rsid w:val="70291255"/>
    <w:rsid w:val="70FF55AB"/>
    <w:rsid w:val="716B13F9"/>
    <w:rsid w:val="71A130D0"/>
    <w:rsid w:val="71B42B40"/>
    <w:rsid w:val="71CF5657"/>
    <w:rsid w:val="7202467C"/>
    <w:rsid w:val="7238787C"/>
    <w:rsid w:val="739C1D3D"/>
    <w:rsid w:val="746C0790"/>
    <w:rsid w:val="748D503C"/>
    <w:rsid w:val="749B318A"/>
    <w:rsid w:val="74A138CF"/>
    <w:rsid w:val="74F02341"/>
    <w:rsid w:val="75244B75"/>
    <w:rsid w:val="75393395"/>
    <w:rsid w:val="75671CEE"/>
    <w:rsid w:val="75DC19CE"/>
    <w:rsid w:val="765D692A"/>
    <w:rsid w:val="769C2B02"/>
    <w:rsid w:val="76AD475B"/>
    <w:rsid w:val="76B61368"/>
    <w:rsid w:val="76EE40D5"/>
    <w:rsid w:val="77191149"/>
    <w:rsid w:val="772B7FA1"/>
    <w:rsid w:val="775A3E3A"/>
    <w:rsid w:val="77A56C97"/>
    <w:rsid w:val="77EB5C21"/>
    <w:rsid w:val="789E7942"/>
    <w:rsid w:val="78AB6682"/>
    <w:rsid w:val="79130B44"/>
    <w:rsid w:val="791903FB"/>
    <w:rsid w:val="7988018F"/>
    <w:rsid w:val="798E73EC"/>
    <w:rsid w:val="79B31CB8"/>
    <w:rsid w:val="7A122D59"/>
    <w:rsid w:val="7A1A3ADE"/>
    <w:rsid w:val="7A6430CE"/>
    <w:rsid w:val="7A835790"/>
    <w:rsid w:val="7A9E37EE"/>
    <w:rsid w:val="7B687494"/>
    <w:rsid w:val="7B7D2454"/>
    <w:rsid w:val="7B9003DA"/>
    <w:rsid w:val="7BCC7EFC"/>
    <w:rsid w:val="7C2733A5"/>
    <w:rsid w:val="7C76312F"/>
    <w:rsid w:val="7CCD7B32"/>
    <w:rsid w:val="7D2D4D93"/>
    <w:rsid w:val="7D307DB8"/>
    <w:rsid w:val="7D513331"/>
    <w:rsid w:val="7D645C8F"/>
    <w:rsid w:val="7DA13DC0"/>
    <w:rsid w:val="7E06188F"/>
    <w:rsid w:val="7E3B222A"/>
    <w:rsid w:val="7E904EA3"/>
    <w:rsid w:val="7ECF3FCA"/>
    <w:rsid w:val="7EE06114"/>
    <w:rsid w:val="7EFC0806"/>
    <w:rsid w:val="7FA018E5"/>
    <w:rsid w:val="7FB448BB"/>
    <w:rsid w:val="7FBE01F5"/>
    <w:rsid w:val="7FD837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iPriority="99"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Date"/>
    <w:basedOn w:val="1"/>
    <w:next w:val="1"/>
    <w:link w:val="14"/>
    <w:qFormat/>
    <w:uiPriority w:val="0"/>
    <w:pPr>
      <w:ind w:left="100" w:leftChars="2500"/>
    </w:pPr>
  </w:style>
  <w:style w:type="paragraph" w:styleId="4">
    <w:name w:val="Body Text Indent 2"/>
    <w:basedOn w:val="1"/>
    <w:unhideWhenUsed/>
    <w:qFormat/>
    <w:uiPriority w:val="99"/>
    <w:pPr>
      <w:spacing w:after="120" w:line="480" w:lineRule="auto"/>
      <w:ind w:left="420" w:leftChars="200"/>
    </w:pPr>
  </w:style>
  <w:style w:type="paragraph" w:styleId="5">
    <w:name w:val="Balloon Text"/>
    <w:basedOn w:val="1"/>
    <w:link w:val="15"/>
    <w:qFormat/>
    <w:uiPriority w:val="0"/>
    <w:rPr>
      <w:sz w:val="18"/>
      <w:szCs w:val="18"/>
    </w:rPr>
  </w:style>
  <w:style w:type="paragraph" w:styleId="6">
    <w:name w:val="footer"/>
    <w:basedOn w:val="1"/>
    <w:link w:val="16"/>
    <w:qFormat/>
    <w:uiPriority w:val="99"/>
    <w:pPr>
      <w:tabs>
        <w:tab w:val="center" w:pos="4153"/>
        <w:tab w:val="right" w:pos="8306"/>
      </w:tabs>
      <w:snapToGrid w:val="0"/>
      <w:jc w:val="left"/>
    </w:pPr>
    <w:rPr>
      <w:sz w:val="18"/>
      <w:szCs w:val="18"/>
    </w:rPr>
  </w:style>
  <w:style w:type="paragraph" w:styleId="7">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8">
    <w:name w:val="index heading"/>
    <w:basedOn w:val="1"/>
    <w:next w:val="1"/>
    <w:unhideWhenUsed/>
    <w:qFormat/>
    <w:uiPriority w:val="99"/>
    <w:pPr>
      <w:pBdr>
        <w:top w:val="double" w:color="auto" w:sz="6" w:space="0"/>
        <w:left w:val="double" w:color="auto" w:sz="6" w:space="0"/>
        <w:bottom w:val="double" w:color="auto" w:sz="6" w:space="0"/>
        <w:right w:val="double" w:color="auto" w:sz="6" w:space="0"/>
      </w:pBdr>
      <w:spacing w:before="240" w:after="120"/>
      <w:jc w:val="center"/>
    </w:pPr>
    <w:rPr>
      <w:rFonts w:ascii="Arial" w:hAnsi="Arial" w:cs="Arial"/>
      <w:b/>
      <w:bCs/>
      <w:spacing w:val="-8"/>
      <w:sz w:val="22"/>
      <w:szCs w:val="22"/>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style>
  <w:style w:type="character" w:styleId="13">
    <w:name w:val="Hyperlink"/>
    <w:basedOn w:val="11"/>
    <w:qFormat/>
    <w:uiPriority w:val="0"/>
    <w:rPr>
      <w:color w:val="0000FF"/>
      <w:u w:val="single"/>
    </w:rPr>
  </w:style>
  <w:style w:type="character" w:customStyle="1" w:styleId="14">
    <w:name w:val="日期 Char"/>
    <w:link w:val="3"/>
    <w:qFormat/>
    <w:uiPriority w:val="0"/>
    <w:rPr>
      <w:kern w:val="2"/>
      <w:sz w:val="21"/>
      <w:szCs w:val="24"/>
    </w:rPr>
  </w:style>
  <w:style w:type="character" w:customStyle="1" w:styleId="15">
    <w:name w:val="批注框文本 Char"/>
    <w:link w:val="5"/>
    <w:qFormat/>
    <w:uiPriority w:val="0"/>
    <w:rPr>
      <w:kern w:val="2"/>
      <w:sz w:val="18"/>
      <w:szCs w:val="18"/>
    </w:rPr>
  </w:style>
  <w:style w:type="character" w:customStyle="1" w:styleId="16">
    <w:name w:val="页脚 Char"/>
    <w:link w:val="6"/>
    <w:qFormat/>
    <w:uiPriority w:val="99"/>
    <w:rPr>
      <w:kern w:val="2"/>
      <w:sz w:val="18"/>
      <w:szCs w:val="18"/>
    </w:rPr>
  </w:style>
  <w:style w:type="character" w:customStyle="1" w:styleId="17">
    <w:name w:val="页眉 Char"/>
    <w:link w:val="7"/>
    <w:qFormat/>
    <w:uiPriority w:val="0"/>
    <w:rPr>
      <w:kern w:val="2"/>
      <w:sz w:val="18"/>
      <w:szCs w:val="18"/>
    </w:rPr>
  </w:style>
  <w:style w:type="paragraph" w:customStyle="1" w:styleId="18">
    <w:name w:val="新格式表"/>
    <w:basedOn w:val="1"/>
    <w:qFormat/>
    <w:uiPriority w:val="0"/>
    <w:pPr>
      <w:adjustRightInd w:val="0"/>
      <w:snapToGrid w:val="0"/>
      <w:spacing w:line="0" w:lineRule="atLeast"/>
      <w:jc w:val="center"/>
    </w:pPr>
    <w:rPr>
      <w:color w:val="000000"/>
      <w:kern w:val="0"/>
      <w:szCs w:val="21"/>
    </w:rPr>
  </w:style>
  <w:style w:type="paragraph" w:styleId="19">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20">
    <w:name w:val="List Paragraph"/>
    <w:basedOn w:val="1"/>
    <w:qFormat/>
    <w:uiPriority w:val="34"/>
    <w:pPr>
      <w:ind w:firstLine="420" w:firstLineChars="200"/>
    </w:pPr>
  </w:style>
  <w:style w:type="paragraph" w:customStyle="1" w:styleId="21">
    <w:name w:val="样式2"/>
    <w:basedOn w:val="1"/>
    <w:qFormat/>
    <w:uiPriority w:val="0"/>
    <w:pPr>
      <w:tabs>
        <w:tab w:val="left" w:pos="7680"/>
      </w:tabs>
      <w:adjustRightInd w:val="0"/>
      <w:spacing w:line="360" w:lineRule="atLeast"/>
      <w:ind w:firstLine="640" w:firstLineChars="200"/>
      <w:textAlignment w:val="baseline"/>
    </w:pPr>
    <w:rPr>
      <w:rFonts w:ascii="仿宋" w:hAnsi="仿宋" w:eastAsia="仿宋_GB2312"/>
      <w:bCs/>
      <w:sz w:val="32"/>
      <w:szCs w:val="32"/>
    </w:rPr>
  </w:style>
  <w:style w:type="character" w:customStyle="1" w:styleId="22">
    <w:name w:val="fontstyle21"/>
    <w:qFormat/>
    <w:uiPriority w:val="0"/>
    <w:rPr>
      <w:rFonts w:hint="default" w:ascii="CIDFont+F1" w:hAnsi="CIDFont+F1"/>
      <w:color w:val="000000"/>
      <w:sz w:val="22"/>
      <w:szCs w:val="22"/>
    </w:rPr>
  </w:style>
  <w:style w:type="paragraph" w:customStyle="1" w:styleId="23">
    <w:name w:val="Table Text"/>
    <w:basedOn w:val="1"/>
    <w:semiHidden/>
    <w:qFormat/>
    <w:uiPriority w:val="0"/>
    <w:rPr>
      <w:rFonts w:eastAsia="Times New Roman"/>
      <w:sz w:val="20"/>
      <w:szCs w:val="20"/>
      <w:lang w:eastAsia="en-US"/>
    </w:rPr>
  </w:style>
  <w:style w:type="table" w:customStyle="1" w:styleId="24">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fbce8ebe-c2dc-43be-ae7b-c5d238a2f3b1}">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5</Pages>
  <Words>2085</Words>
  <Characters>2334</Characters>
  <Lines>16</Lines>
  <Paragraphs>4</Paragraphs>
  <TotalTime>1</TotalTime>
  <ScaleCrop>false</ScaleCrop>
  <LinksUpToDate>false</LinksUpToDate>
  <CharactersWithSpaces>2339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2017-07-14T03:44:00Z</dcterms:created>
  <dc:creator>User</dc:creator>
  <cp:lastModifiedBy>个栗</cp:lastModifiedBy>
  <cp:lastPrinted>2026-08-06T08:35:00Z</cp:lastPrinted>
  <dcterms:modified xsi:type="dcterms:W3CDTF">2026-10-09T01:58:17Z</dcterms:modified>
  <dc:title>连云港高新区技术产业开发区党工委</dc:title>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25ECC43763EC4FE490B8C51305C223C0_13</vt:lpwstr>
  </property>
  <property fmtid="{D5CDD505-2E9C-101B-9397-08002B2CF9AE}" pid="4" name="KSOTemplateDocerSaveRecord">
    <vt:lpwstr>eyJoZGlkIjoiNmNkNTY1NzE0N2VhOTMyN2UxYTgzNDBlYzQ3ZDg0YTAiLCJ1c2VySWQiOiIyMTc3Njg1NzgifQ==</vt:lpwstr>
  </property>
</Properties>
</file>