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00390">
      <w:pPr>
        <w:pStyle w:val="18"/>
        <w:keepNext w:val="0"/>
        <w:keepLines w:val="0"/>
        <w:pageBreakBefore w:val="0"/>
        <w:widowControl w:val="0"/>
        <w:kinsoku/>
        <w:wordWrap/>
        <w:overflowPunct/>
        <w:topLinePunct w:val="0"/>
        <w:autoSpaceDE/>
        <w:autoSpaceDN/>
        <w:bidi w:val="0"/>
        <w:spacing w:line="560" w:lineRule="exact"/>
        <w:jc w:val="both"/>
        <w:textAlignment w:val="auto"/>
        <w:rPr>
          <w:color w:val="000000" w:themeColor="text1"/>
          <w14:textFill>
            <w14:solidFill>
              <w14:schemeClr w14:val="tx1"/>
            </w14:solidFill>
          </w14:textFill>
        </w:rPr>
      </w:pPr>
    </w:p>
    <w:p w14:paraId="0F2DD0C9">
      <w:pPr>
        <w:keepNext w:val="0"/>
        <w:keepLines w:val="0"/>
        <w:pageBreakBefore w:val="0"/>
        <w:widowControl w:val="0"/>
        <w:kinsoku/>
        <w:wordWrap/>
        <w:overflowPunct/>
        <w:topLinePunct w:val="0"/>
        <w:autoSpaceDE/>
        <w:autoSpaceDN/>
        <w:bidi w:val="0"/>
        <w:spacing w:line="560" w:lineRule="exact"/>
        <w:jc w:val="right"/>
        <w:textAlignment w:val="auto"/>
        <w:rPr>
          <w:color w:val="000000" w:themeColor="text1"/>
          <w:sz w:val="30"/>
          <w:szCs w:val="30"/>
          <w:highlight w:val="none"/>
          <w14:textFill>
            <w14:solidFill>
              <w14:schemeClr w14:val="tx1"/>
            </w14:solidFill>
          </w14:textFill>
        </w:rPr>
      </w:pPr>
      <w:r>
        <w:rPr>
          <w:rFonts w:hint="eastAsia" w:ascii="楷体" w:hAnsi="楷体" w:eastAsia="楷体" w:cs="楷体"/>
          <w:color w:val="000000" w:themeColor="text1"/>
          <w:sz w:val="30"/>
          <w:szCs w:val="30"/>
          <w14:textFill>
            <w14:solidFill>
              <w14:schemeClr w14:val="tx1"/>
            </w14:solidFill>
          </w14:textFill>
        </w:rPr>
        <w:t>连高环表复</w:t>
      </w:r>
      <w:r>
        <w:rPr>
          <w:rFonts w:eastAsia="楷体"/>
          <w:color w:val="000000" w:themeColor="text1"/>
          <w:sz w:val="30"/>
          <w:szCs w:val="30"/>
          <w14:textFill>
            <w14:solidFill>
              <w14:schemeClr w14:val="tx1"/>
            </w14:solidFill>
          </w14:textFill>
        </w:rPr>
        <w:t>〔202</w:t>
      </w:r>
      <w:r>
        <w:rPr>
          <w:rFonts w:hint="eastAsia" w:eastAsia="楷体"/>
          <w:color w:val="000000" w:themeColor="text1"/>
          <w:sz w:val="30"/>
          <w:szCs w:val="30"/>
          <w:highlight w:val="none"/>
          <w:lang w:val="en-US" w:eastAsia="zh-CN"/>
          <w14:textFill>
            <w14:solidFill>
              <w14:schemeClr w14:val="tx1"/>
            </w14:solidFill>
          </w14:textFill>
        </w:rPr>
        <w:t>6</w:t>
      </w:r>
      <w:r>
        <w:rPr>
          <w:rFonts w:eastAsia="楷体"/>
          <w:color w:val="000000" w:themeColor="text1"/>
          <w:sz w:val="30"/>
          <w:szCs w:val="30"/>
          <w:highlight w:val="none"/>
          <w14:textFill>
            <w14:solidFill>
              <w14:schemeClr w14:val="tx1"/>
            </w14:solidFill>
          </w14:textFill>
        </w:rPr>
        <w:t>〕</w:t>
      </w:r>
      <w:r>
        <w:rPr>
          <w:rFonts w:hint="eastAsia" w:eastAsia="楷体"/>
          <w:color w:val="000000" w:themeColor="text1"/>
          <w:sz w:val="30"/>
          <w:szCs w:val="30"/>
          <w:highlight w:val="none"/>
          <w:lang w:val="en-US" w:eastAsia="zh-CN"/>
          <w14:textFill>
            <w14:solidFill>
              <w14:schemeClr w14:val="tx1"/>
            </w14:solidFill>
          </w14:textFill>
        </w:rPr>
        <w:t>9</w:t>
      </w:r>
      <w:r>
        <w:rPr>
          <w:rFonts w:eastAsia="楷体"/>
          <w:color w:val="000000" w:themeColor="text1"/>
          <w:sz w:val="30"/>
          <w:szCs w:val="30"/>
          <w:highlight w:val="none"/>
          <w14:textFill>
            <w14:solidFill>
              <w14:schemeClr w14:val="tx1"/>
            </w14:solidFill>
          </w14:textFill>
        </w:rPr>
        <w:t>号</w:t>
      </w:r>
    </w:p>
    <w:p w14:paraId="5EF6DCB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eastAsia="方正小标宋简体"/>
          <w:bCs/>
          <w:color w:val="000000" w:themeColor="text1"/>
          <w:spacing w:val="-17"/>
          <w:sz w:val="44"/>
          <w:szCs w:val="44"/>
          <w14:textFill>
            <w14:solidFill>
              <w14:schemeClr w14:val="tx1"/>
            </w14:solidFill>
          </w14:textFill>
        </w:rPr>
      </w:pPr>
      <w:r>
        <w:rPr>
          <w:rFonts w:eastAsia="方正小标宋简体"/>
          <w:bCs/>
          <w:color w:val="000000" w:themeColor="text1"/>
          <w:spacing w:val="-17"/>
          <w:sz w:val="44"/>
          <w:szCs w:val="44"/>
          <w14:textFill>
            <w14:solidFill>
              <w14:schemeClr w14:val="tx1"/>
            </w14:solidFill>
          </w14:textFill>
        </w:rPr>
        <w:t>关于对</w:t>
      </w:r>
      <w:r>
        <w:rPr>
          <w:rFonts w:hint="eastAsia" w:eastAsia="方正小标宋简体"/>
          <w:bCs/>
          <w:color w:val="000000" w:themeColor="text1"/>
          <w:spacing w:val="-17"/>
          <w:sz w:val="44"/>
          <w:szCs w:val="44"/>
          <w:lang w:eastAsia="zh-CN"/>
          <w14:textFill>
            <w14:solidFill>
              <w14:schemeClr w14:val="tx1"/>
            </w14:solidFill>
          </w14:textFill>
        </w:rPr>
        <w:t>欧摩威汽车电子（连云港）有限公司汽车传感器技改项目</w:t>
      </w:r>
      <w:r>
        <w:rPr>
          <w:rFonts w:eastAsia="方正小标宋简体"/>
          <w:bCs/>
          <w:color w:val="000000" w:themeColor="text1"/>
          <w:spacing w:val="-17"/>
          <w:sz w:val="44"/>
          <w:szCs w:val="44"/>
          <w14:textFill>
            <w14:solidFill>
              <w14:schemeClr w14:val="tx1"/>
            </w14:solidFill>
          </w14:textFill>
        </w:rPr>
        <w:t>环境影响报告表的批复</w:t>
      </w:r>
    </w:p>
    <w:p w14:paraId="2D84E585">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eastAsia="仿宋_GB2312"/>
          <w:color w:val="000000" w:themeColor="text1"/>
          <w:sz w:val="32"/>
          <w:szCs w:val="32"/>
          <w14:textFill>
            <w14:solidFill>
              <w14:schemeClr w14:val="tx1"/>
            </w14:solidFill>
          </w14:textFill>
        </w:rPr>
      </w:pPr>
    </w:p>
    <w:p w14:paraId="6D1F92B8">
      <w:pPr>
        <w:keepNext w:val="0"/>
        <w:keepLines w:val="0"/>
        <w:pageBreakBefore w:val="0"/>
        <w:kinsoku/>
        <w:overflowPunct/>
        <w:topLinePunct w:val="0"/>
        <w:autoSpaceDE/>
        <w:autoSpaceDN/>
        <w:bidi w:val="0"/>
        <w:adjustRightInd w:val="0"/>
        <w:snapToGrid w:val="0"/>
        <w:spacing w:line="560" w:lineRule="exact"/>
        <w:textAlignment w:val="auto"/>
        <w:rPr>
          <w:rFonts w:eastAsia="仿宋_GB2312"/>
          <w:color w:val="000000" w:themeColor="text1"/>
          <w:sz w:val="32"/>
          <w:szCs w:val="32"/>
          <w14:textFill>
            <w14:solidFill>
              <w14:schemeClr w14:val="tx1"/>
            </w14:solidFill>
          </w14:textFill>
        </w:rPr>
      </w:pPr>
      <w:r>
        <w:rPr>
          <w:rFonts w:hint="eastAsia" w:eastAsia="仿宋_GB2312"/>
          <w:bCs/>
          <w:color w:val="000000" w:themeColor="text1"/>
          <w:sz w:val="32"/>
          <w:szCs w:val="32"/>
          <w:lang w:eastAsia="zh-CN"/>
          <w14:textFill>
            <w14:solidFill>
              <w14:schemeClr w14:val="tx1"/>
            </w14:solidFill>
          </w14:textFill>
        </w:rPr>
        <w:t>欧摩威汽车电子（连云港）有限公司</w:t>
      </w:r>
      <w:r>
        <w:rPr>
          <w:rFonts w:hint="eastAsia" w:eastAsia="仿宋_GB2312"/>
          <w:color w:val="000000" w:themeColor="text1"/>
          <w:sz w:val="32"/>
          <w:szCs w:val="32"/>
          <w14:textFill>
            <w14:solidFill>
              <w14:schemeClr w14:val="tx1"/>
            </w14:solidFill>
          </w14:textFill>
        </w:rPr>
        <w:t>：</w:t>
      </w:r>
    </w:p>
    <w:p w14:paraId="2BD684E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委托</w:t>
      </w:r>
      <w:r>
        <w:rPr>
          <w:rFonts w:hint="eastAsia" w:eastAsia="仿宋_GB2312"/>
          <w:color w:val="000000" w:themeColor="text1"/>
          <w:sz w:val="32"/>
          <w:szCs w:val="32"/>
          <w:lang w:eastAsia="zh-CN"/>
          <w14:textFill>
            <w14:solidFill>
              <w14:schemeClr w14:val="tx1"/>
            </w14:solidFill>
          </w14:textFill>
        </w:rPr>
        <w:t>江苏联平安全环境技术研究有限公司</w:t>
      </w:r>
      <w:r>
        <w:rPr>
          <w:rFonts w:eastAsia="仿宋_GB2312"/>
          <w:color w:val="000000" w:themeColor="text1"/>
          <w:sz w:val="32"/>
          <w:szCs w:val="32"/>
          <w14:textFill>
            <w14:solidFill>
              <w14:schemeClr w14:val="tx1"/>
            </w14:solidFill>
          </w14:textFill>
        </w:rPr>
        <w:t>编制的《</w:t>
      </w:r>
      <w:r>
        <w:rPr>
          <w:rFonts w:hint="eastAsia" w:eastAsia="仿宋_GB2312"/>
          <w:bCs/>
          <w:color w:val="000000" w:themeColor="text1"/>
          <w:sz w:val="32"/>
          <w:szCs w:val="32"/>
          <w:lang w:eastAsia="zh-CN"/>
          <w14:textFill>
            <w14:solidFill>
              <w14:schemeClr w14:val="tx1"/>
            </w14:solidFill>
          </w14:textFill>
        </w:rPr>
        <w:t>汽车传感器技改项目</w:t>
      </w:r>
      <w:r>
        <w:rPr>
          <w:rFonts w:hint="eastAsia" w:eastAsia="仿宋_GB2312"/>
          <w:bCs/>
          <w:color w:val="000000" w:themeColor="text1"/>
          <w:sz w:val="32"/>
          <w:szCs w:val="32"/>
          <w14:textFill>
            <w14:solidFill>
              <w14:schemeClr w14:val="tx1"/>
            </w14:solidFill>
          </w14:textFill>
        </w:rPr>
        <w:t>环境影响报告表</w:t>
      </w:r>
      <w:r>
        <w:rPr>
          <w:rFonts w:eastAsia="仿宋_GB2312"/>
          <w:color w:val="000000" w:themeColor="text1"/>
          <w:sz w:val="32"/>
          <w:szCs w:val="32"/>
          <w14:textFill>
            <w14:solidFill>
              <w14:schemeClr w14:val="tx1"/>
            </w14:solidFill>
          </w14:textFill>
        </w:rPr>
        <w:t>》（以下简称《报告表》）收悉</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经研究</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批复如下：</w:t>
      </w:r>
    </w:p>
    <w:p w14:paraId="16069C51">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项目位于</w:t>
      </w:r>
      <w:r>
        <w:rPr>
          <w:rFonts w:hint="eastAsia" w:eastAsia="仿宋_GB2312"/>
          <w:color w:val="000000" w:themeColor="text1"/>
          <w:sz w:val="32"/>
          <w:szCs w:val="32"/>
          <w:highlight w:val="none"/>
          <w:lang w:eastAsia="zh-CN"/>
          <w14:textFill>
            <w14:solidFill>
              <w14:schemeClr w14:val="tx1"/>
            </w14:solidFill>
          </w14:textFill>
        </w:rPr>
        <w:t>连云港高新技术产业开发区宋跳工业园高新四路17号</w:t>
      </w:r>
      <w:r>
        <w:rPr>
          <w:rFonts w:hint="eastAsia" w:eastAsia="仿宋_GB2312"/>
          <w:color w:val="000000" w:themeColor="text1"/>
          <w:sz w:val="32"/>
          <w:szCs w:val="32"/>
          <w:highlight w:val="none"/>
          <w14:textFill>
            <w14:solidFill>
              <w14:schemeClr w14:val="tx1"/>
            </w14:solidFill>
          </w14:textFill>
        </w:rPr>
        <w:t>，利用现有2号、4号厂房</w:t>
      </w:r>
      <w:r>
        <w:rPr>
          <w:rFonts w:hint="eastAsia" w:eastAsia="仿宋_GB2312"/>
          <w:color w:val="000000" w:themeColor="text1"/>
          <w:sz w:val="32"/>
          <w:szCs w:val="32"/>
          <w:highlight w:val="none"/>
          <w:lang w:eastAsia="zh-CN"/>
          <w14:textFill>
            <w14:solidFill>
              <w14:schemeClr w14:val="tx1"/>
            </w14:solidFill>
          </w14:textFill>
        </w:rPr>
        <w:t>，对已停产项目产线拆除的设备及轮速传感器和引擎传感器生产线扩建项目</w:t>
      </w:r>
      <w:r>
        <w:rPr>
          <w:rFonts w:hint="eastAsia" w:eastAsia="仿宋_GB2312"/>
          <w:color w:val="000000" w:themeColor="text1"/>
          <w:sz w:val="32"/>
          <w:szCs w:val="32"/>
          <w:highlight w:val="none"/>
          <w14:textFill>
            <w14:solidFill>
              <w14:schemeClr w14:val="tx1"/>
            </w14:solidFill>
          </w14:textFill>
        </w:rPr>
        <w:t>部分生产设备进行优化升级</w:t>
      </w:r>
      <w:r>
        <w:rPr>
          <w:rFonts w:hint="eastAsia" w:eastAsia="仿宋_GB2312"/>
          <w:color w:val="000000" w:themeColor="text1"/>
          <w:sz w:val="32"/>
          <w:szCs w:val="32"/>
          <w:highlight w:val="none"/>
          <w:lang w:eastAsia="zh-CN"/>
          <w14:textFill>
            <w14:solidFill>
              <w14:schemeClr w14:val="tx1"/>
            </w14:solidFill>
          </w14:textFill>
        </w:rPr>
        <w:t>，并</w:t>
      </w:r>
      <w:r>
        <w:rPr>
          <w:rFonts w:hint="eastAsia" w:eastAsia="仿宋_GB2312"/>
          <w:color w:val="000000" w:themeColor="text1"/>
          <w:sz w:val="32"/>
          <w:szCs w:val="32"/>
          <w:highlight w:val="none"/>
          <w14:textFill>
            <w14:solidFill>
              <w14:schemeClr w14:val="tx1"/>
            </w14:solidFill>
          </w14:textFill>
        </w:rPr>
        <w:t>提高自动化程度，建设7条</w:t>
      </w:r>
      <w:r>
        <w:rPr>
          <w:rFonts w:hint="eastAsia" w:eastAsia="仿宋_GB2312"/>
          <w:color w:val="000000" w:themeColor="text1"/>
          <w:sz w:val="32"/>
          <w:szCs w:val="32"/>
          <w:highlight w:val="none"/>
          <w:lang w:eastAsia="zh-CN"/>
          <w14:textFill>
            <w14:solidFill>
              <w14:schemeClr w14:val="tx1"/>
            </w14:solidFill>
          </w14:textFill>
        </w:rPr>
        <w:t>传感器</w:t>
      </w:r>
      <w:r>
        <w:rPr>
          <w:rFonts w:hint="eastAsia" w:eastAsia="仿宋_GB2312"/>
          <w:color w:val="000000" w:themeColor="text1"/>
          <w:sz w:val="32"/>
          <w:szCs w:val="32"/>
          <w:highlight w:val="none"/>
          <w14:textFill>
            <w14:solidFill>
              <w14:schemeClr w14:val="tx1"/>
            </w14:solidFill>
          </w14:textFill>
        </w:rPr>
        <w:t>生产线</w:t>
      </w:r>
      <w:r>
        <w:rPr>
          <w:rFonts w:hint="eastAsia" w:eastAsia="仿宋_GB2312"/>
          <w:color w:val="000000" w:themeColor="text1"/>
          <w:sz w:val="32"/>
          <w:szCs w:val="32"/>
          <w:highlight w:val="none"/>
          <w:lang w:eastAsia="zh-CN"/>
          <w14:textFill>
            <w14:solidFill>
              <w14:schemeClr w14:val="tx1"/>
            </w14:solidFill>
          </w14:textFill>
        </w:rPr>
        <w:t>。项目建成后，实现</w:t>
      </w:r>
      <w:r>
        <w:rPr>
          <w:rFonts w:hint="eastAsia" w:eastAsia="仿宋_GB2312"/>
          <w:color w:val="000000" w:themeColor="text1"/>
          <w:sz w:val="32"/>
          <w:szCs w:val="32"/>
          <w:highlight w:val="none"/>
          <w14:textFill>
            <w14:solidFill>
              <w14:schemeClr w14:val="tx1"/>
            </w14:solidFill>
          </w14:textFill>
        </w:rPr>
        <w:t>年产1480万根的汽车传感器、380万个球头及35万个钣金具</w:t>
      </w:r>
      <w:r>
        <w:rPr>
          <w:rFonts w:hint="eastAsia" w:eastAsia="仿宋_GB2312"/>
          <w:color w:val="000000" w:themeColor="text1"/>
          <w:sz w:val="32"/>
          <w:szCs w:val="32"/>
          <w:highlight w:val="none"/>
          <w:lang w:eastAsia="zh-CN"/>
          <w14:textFill>
            <w14:solidFill>
              <w14:schemeClr w14:val="tx1"/>
            </w14:solidFill>
          </w14:textFill>
        </w:rPr>
        <w:t>的产能</w:t>
      </w:r>
      <w:r>
        <w:rPr>
          <w:rFonts w:hint="eastAsia" w:eastAsia="仿宋_GB2312"/>
          <w:color w:val="000000" w:themeColor="text1"/>
          <w:sz w:val="32"/>
          <w:szCs w:val="32"/>
          <w:highlight w:val="none"/>
          <w14:textFill>
            <w14:solidFill>
              <w14:schemeClr w14:val="tx1"/>
            </w14:solidFill>
          </w14:textFill>
        </w:rPr>
        <w:t>。总投资2768万元</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其中环保投资24万元。</w:t>
      </w:r>
      <w:r>
        <w:rPr>
          <w:rFonts w:hint="eastAsia" w:eastAsia="仿宋_GB2312"/>
          <w:color w:val="000000" w:themeColor="text1"/>
          <w:sz w:val="32"/>
          <w:szCs w:val="32"/>
          <w:highlight w:val="none"/>
          <w14:textFill>
            <w14:solidFill>
              <w14:schemeClr w14:val="tx1"/>
            </w14:solidFill>
          </w14:textFill>
        </w:rPr>
        <w:t>项目代码：2412-320772-89-02-402246</w:t>
      </w:r>
      <w:r>
        <w:rPr>
          <w:rFonts w:hint="eastAsia" w:eastAsia="仿宋_GB2312"/>
          <w:color w:val="000000" w:themeColor="text1"/>
          <w:sz w:val="32"/>
          <w:szCs w:val="32"/>
          <w:highlight w:val="none"/>
          <w:lang w:val="en-US" w:eastAsia="zh-CN"/>
          <w14:textFill>
            <w14:solidFill>
              <w14:schemeClr w14:val="tx1"/>
            </w14:solidFill>
          </w14:textFill>
        </w:rPr>
        <w:t>。</w:t>
      </w:r>
    </w:p>
    <w:p w14:paraId="51FAB85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二、</w:t>
      </w:r>
      <w:r>
        <w:rPr>
          <w:rFonts w:hint="eastAsia" w:eastAsia="仿宋_GB2312"/>
          <w:color w:val="000000" w:themeColor="text1"/>
          <w:sz w:val="32"/>
          <w:szCs w:val="32"/>
          <w:highlight w:val="none"/>
          <w14:textFill>
            <w14:solidFill>
              <w14:schemeClr w14:val="tx1"/>
            </w14:solidFill>
          </w14:textFill>
        </w:rPr>
        <w:t>根据《报告表</w:t>
      </w:r>
      <w:r>
        <w:rPr>
          <w:rFonts w:hint="eastAsia" w:eastAsia="仿宋_GB2312"/>
          <w:color w:val="000000" w:themeColor="text1"/>
          <w:sz w:val="32"/>
          <w:szCs w:val="32"/>
          <w14:textFill>
            <w14:solidFill>
              <w14:schemeClr w14:val="tx1"/>
            </w14:solidFill>
          </w14:textFill>
        </w:rPr>
        <w:t>》的论述及评价结论</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在</w:t>
      </w:r>
      <w:r>
        <w:rPr>
          <w:rFonts w:eastAsia="仿宋_GB2312"/>
          <w:color w:val="000000" w:themeColor="text1"/>
          <w:sz w:val="32"/>
          <w:szCs w:val="32"/>
          <w14:textFill>
            <w14:solidFill>
              <w14:schemeClr w14:val="tx1"/>
            </w14:solidFill>
          </w14:textFill>
        </w:rPr>
        <w:t>落实《报告表》中提出的各项污染防治、生态</w:t>
      </w:r>
      <w:r>
        <w:rPr>
          <w:rFonts w:hint="eastAsia" w:eastAsia="仿宋_GB2312"/>
          <w:color w:val="000000" w:themeColor="text1"/>
          <w:sz w:val="32"/>
          <w:szCs w:val="32"/>
          <w14:textFill>
            <w14:solidFill>
              <w14:schemeClr w14:val="tx1"/>
            </w14:solidFill>
          </w14:textFill>
        </w:rPr>
        <w:t>环境保护</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风险防范等措施</w:t>
      </w:r>
      <w:r>
        <w:rPr>
          <w:rFonts w:eastAsia="仿宋_GB2312"/>
          <w:color w:val="000000" w:themeColor="text1"/>
          <w:sz w:val="32"/>
          <w:szCs w:val="32"/>
          <w14:textFill>
            <w14:solidFill>
              <w14:schemeClr w14:val="tx1"/>
            </w14:solidFill>
          </w14:textFill>
        </w:rPr>
        <w:t>的前提下</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从</w:t>
      </w:r>
      <w:r>
        <w:rPr>
          <w:rFonts w:hint="eastAsia" w:eastAsia="仿宋_GB2312"/>
          <w:color w:val="000000" w:themeColor="text1"/>
          <w:sz w:val="32"/>
          <w:szCs w:val="32"/>
          <w14:textFill>
            <w14:solidFill>
              <w14:schemeClr w14:val="tx1"/>
            </w14:solidFill>
          </w14:textFill>
        </w:rPr>
        <w:t>生态环境</w:t>
      </w:r>
      <w:r>
        <w:rPr>
          <w:rFonts w:eastAsia="仿宋_GB2312"/>
          <w:color w:val="000000" w:themeColor="text1"/>
          <w:sz w:val="32"/>
          <w:szCs w:val="32"/>
          <w14:textFill>
            <w14:solidFill>
              <w14:schemeClr w14:val="tx1"/>
            </w14:solidFill>
          </w14:textFill>
        </w:rPr>
        <w:t>角度考虑</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同意你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按《报告表》所述内容进行建设。</w:t>
      </w:r>
    </w:p>
    <w:p w14:paraId="13899A3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三、在项目工程设计、建设和环境管理中</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须</w:t>
      </w:r>
      <w:r>
        <w:rPr>
          <w:rFonts w:hint="eastAsia" w:eastAsia="仿宋_GB2312"/>
          <w:color w:val="000000" w:themeColor="text1"/>
          <w:sz w:val="32"/>
          <w:szCs w:val="32"/>
          <w14:textFill>
            <w14:solidFill>
              <w14:schemeClr w14:val="tx1"/>
            </w14:solidFill>
          </w14:textFill>
        </w:rPr>
        <w:t>全过程贯彻清洁生产理念</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落实《报告表》中提出的</w:t>
      </w:r>
      <w:r>
        <w:rPr>
          <w:rFonts w:hint="eastAsia" w:eastAsia="仿宋_GB2312"/>
          <w:color w:val="000000" w:themeColor="text1"/>
          <w:sz w:val="32"/>
          <w:szCs w:val="32"/>
          <w14:textFill>
            <w14:solidFill>
              <w14:schemeClr w14:val="tx1"/>
            </w14:solidFill>
          </w14:textFill>
        </w:rPr>
        <w:t>各项污染防治措施要求</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严格执行环保“三同时”制度</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确保各类污染物稳定达标排放</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并</w:t>
      </w:r>
      <w:r>
        <w:rPr>
          <w:rFonts w:hint="eastAsia" w:eastAsia="仿宋_GB2312"/>
          <w:color w:val="000000" w:themeColor="text1"/>
          <w:sz w:val="32"/>
          <w:szCs w:val="32"/>
          <w14:textFill>
            <w14:solidFill>
              <w14:schemeClr w14:val="tx1"/>
            </w14:solidFill>
          </w14:textFill>
        </w:rPr>
        <w:t>在项目建设及运营期间重点</w:t>
      </w:r>
      <w:r>
        <w:rPr>
          <w:rFonts w:eastAsia="仿宋_GB2312"/>
          <w:color w:val="000000" w:themeColor="text1"/>
          <w:sz w:val="32"/>
          <w:szCs w:val="32"/>
          <w14:textFill>
            <w14:solidFill>
              <w14:schemeClr w14:val="tx1"/>
            </w14:solidFill>
          </w14:textFill>
        </w:rPr>
        <w:t>落实以下</w:t>
      </w:r>
      <w:r>
        <w:rPr>
          <w:rFonts w:hint="eastAsia" w:eastAsia="仿宋_GB2312"/>
          <w:color w:val="000000" w:themeColor="text1"/>
          <w:sz w:val="32"/>
          <w:szCs w:val="32"/>
          <w14:textFill>
            <w14:solidFill>
              <w14:schemeClr w14:val="tx1"/>
            </w14:solidFill>
          </w14:textFill>
        </w:rPr>
        <w:t>要求</w:t>
      </w:r>
      <w:r>
        <w:rPr>
          <w:rFonts w:eastAsia="仿宋_GB2312"/>
          <w:color w:val="000000" w:themeColor="text1"/>
          <w:sz w:val="32"/>
          <w:szCs w:val="32"/>
          <w14:textFill>
            <w14:solidFill>
              <w14:schemeClr w14:val="tx1"/>
            </w14:solidFill>
          </w14:textFill>
        </w:rPr>
        <w:t>：</w:t>
      </w:r>
    </w:p>
    <w:p w14:paraId="709E999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（一）严格落实水污染防治措施。食堂污水经隔油池处理后和经化粪池处理后的生活污水，接管至大浦工业区污水处理厂集中处理，尾水排大浦河</w:t>
      </w:r>
      <w:r>
        <w:rPr>
          <w:rFonts w:hint="eastAsia" w:eastAsia="仿宋_GB2312"/>
          <w:color w:val="000000" w:themeColor="text1"/>
          <w:sz w:val="32"/>
          <w:szCs w:val="32"/>
          <w:highlight w:val="none"/>
          <w:lang w:val="en-US" w:eastAsia="zh-CN"/>
          <w14:textFill>
            <w14:solidFill>
              <w14:schemeClr w14:val="tx1"/>
            </w14:solidFill>
          </w14:textFill>
        </w:rPr>
        <w:t>。本项目不新增废水。</w:t>
      </w:r>
    </w:p>
    <w:p w14:paraId="069F2C8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（二）严格落实大气污染防治措施，确保各类废气达标排放。</w:t>
      </w:r>
    </w:p>
    <w:p w14:paraId="469BE47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本项</w:t>
      </w:r>
      <w:r>
        <w:rPr>
          <w:rFonts w:hint="eastAsia" w:eastAsia="仿宋_GB2312"/>
          <w:color w:val="000000" w:themeColor="text1"/>
          <w:sz w:val="32"/>
          <w:szCs w:val="32"/>
          <w:lang w:eastAsia="zh-CN"/>
          <w14:textFill>
            <w14:solidFill>
              <w14:schemeClr w14:val="tx1"/>
            </w14:solidFill>
          </w14:textFill>
        </w:rPr>
        <w:t>目废气主要为成型工段产生的</w:t>
      </w:r>
      <w:r>
        <w:rPr>
          <w:rFonts w:eastAsia="仿宋_GB2312"/>
          <w:color w:val="000000" w:themeColor="text1"/>
          <w:sz w:val="32"/>
          <w:szCs w:val="32"/>
          <w14:textFill>
            <w14:solidFill>
              <w14:schemeClr w14:val="tx1"/>
            </w14:solidFill>
          </w14:textFill>
        </w:rPr>
        <w:t>非甲烷总烃</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四氢呋喃</w:t>
      </w:r>
      <w:r>
        <w:rPr>
          <w:rFonts w:hint="eastAsia" w:eastAsia="仿宋_GB2312"/>
          <w:color w:val="000000" w:themeColor="text1"/>
          <w:sz w:val="32"/>
          <w:szCs w:val="32"/>
          <w:lang w:eastAsia="zh-CN"/>
          <w14:textFill>
            <w14:solidFill>
              <w14:schemeClr w14:val="tx1"/>
            </w14:solidFill>
          </w14:textFill>
        </w:rPr>
        <w:t>废气，</w:t>
      </w:r>
      <w:r>
        <w:rPr>
          <w:rFonts w:hint="eastAsia" w:eastAsia="仿宋_GB2312"/>
          <w:color w:val="000000" w:themeColor="text1"/>
          <w:sz w:val="32"/>
          <w:szCs w:val="32"/>
          <w:lang w:val="en-US" w:eastAsia="zh-CN"/>
          <w14:textFill>
            <w14:solidFill>
              <w14:schemeClr w14:val="tx1"/>
            </w14:solidFill>
          </w14:textFill>
        </w:rPr>
        <w:t>焊接操作点产生颗粒物废气。</w:t>
      </w:r>
    </w:p>
    <w:p w14:paraId="1F761EE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非甲烷总烃、四氢呋喃采用集气罩进行收集，依托现有二级活性炭处理设施处理后，依托现有的15m高排气筒（DA003）排放。</w:t>
      </w:r>
      <w:r>
        <w:rPr>
          <w:rFonts w:hint="eastAsia" w:eastAsia="仿宋_GB2312"/>
          <w:color w:val="000000" w:themeColor="text1"/>
          <w:sz w:val="32"/>
          <w:szCs w:val="32"/>
          <w:lang w:val="en-US" w:eastAsia="zh-CN"/>
          <w14:textFill>
            <w14:solidFill>
              <w14:schemeClr w14:val="tx1"/>
            </w14:solidFill>
          </w14:textFill>
        </w:rPr>
        <w:t>有机废气排放浓度应满足《合成树脂工业污染物排放标准》（GB31572-2015）及2024年修改单中表5中相关标准限值，排放浓度及速率应满足《大气污染物综合排放标准》（DB32/4040-2021）表1中相关标准限值要求。</w:t>
      </w:r>
    </w:p>
    <w:p w14:paraId="636B769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颗粒物废气通过焊接操作点设置移动式焊烟收集净化设施处理后无组织排放。</w:t>
      </w:r>
      <w:bookmarkStart w:id="0" w:name="_Hlk190951186"/>
      <w:r>
        <w:rPr>
          <w:rFonts w:hint="eastAsia" w:eastAsia="仿宋_GB2312"/>
          <w:color w:val="000000" w:themeColor="text1"/>
          <w:sz w:val="32"/>
          <w:szCs w:val="32"/>
          <w:lang w:eastAsia="zh-CN"/>
          <w14:textFill>
            <w14:solidFill>
              <w14:schemeClr w14:val="tx1"/>
            </w14:solidFill>
          </w14:textFill>
        </w:rPr>
        <w:t>非甲烷总烃、颗粒物</w:t>
      </w:r>
      <w:r>
        <w:rPr>
          <w:rFonts w:hint="eastAsia" w:eastAsia="仿宋_GB2312"/>
          <w:color w:val="000000" w:themeColor="text1"/>
          <w:sz w:val="32"/>
          <w:szCs w:val="32"/>
          <w:lang w:val="en-US" w:eastAsia="zh-CN"/>
          <w14:textFill>
            <w14:solidFill>
              <w14:schemeClr w14:val="tx1"/>
            </w14:solidFill>
          </w14:textFill>
        </w:rPr>
        <w:t>无组织排放执行《合成树脂工业污染物排放标准》（GB31572-2015）（含2024年修改单）表9中相关标准限值</w:t>
      </w:r>
      <w:bookmarkEnd w:id="0"/>
      <w:r>
        <w:rPr>
          <w:rFonts w:hint="eastAsia" w:eastAsia="仿宋_GB2312"/>
          <w:color w:val="000000" w:themeColor="text1"/>
          <w:sz w:val="32"/>
          <w:szCs w:val="32"/>
          <w:lang w:val="en-US" w:eastAsia="zh-CN"/>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厂区内非甲烷总烃无组织排放</w:t>
      </w:r>
      <w:r>
        <w:rPr>
          <w:rFonts w:hint="eastAsia" w:eastAsia="仿宋_GB2312"/>
          <w:color w:val="000000" w:themeColor="text1"/>
          <w:sz w:val="32"/>
          <w:szCs w:val="32"/>
          <w:lang w:val="en-US" w:eastAsia="zh-CN"/>
          <w14:textFill>
            <w14:solidFill>
              <w14:schemeClr w14:val="tx1"/>
            </w14:solidFill>
          </w14:textFill>
        </w:rPr>
        <w:t>执行</w:t>
      </w:r>
      <w:r>
        <w:rPr>
          <w:rFonts w:hint="eastAsia" w:eastAsia="仿宋_GB2312"/>
          <w:color w:val="000000" w:themeColor="text1"/>
          <w:sz w:val="32"/>
          <w:szCs w:val="32"/>
          <w:lang w:eastAsia="zh-CN"/>
          <w14:textFill>
            <w14:solidFill>
              <w14:schemeClr w14:val="tx1"/>
            </w14:solidFill>
          </w14:textFill>
        </w:rPr>
        <w:t>《大气污染物综合排放标准》（D</w:t>
      </w:r>
      <w:r>
        <w:rPr>
          <w:rFonts w:hint="eastAsia" w:eastAsia="仿宋_GB2312"/>
          <w:color w:val="000000" w:themeColor="text1"/>
          <w:sz w:val="32"/>
          <w:szCs w:val="32"/>
          <w:lang w:val="en-US" w:eastAsia="zh-CN"/>
          <w14:textFill>
            <w14:solidFill>
              <w14:schemeClr w14:val="tx1"/>
            </w14:solidFill>
          </w14:textFill>
        </w:rPr>
        <w:t>B</w:t>
      </w:r>
      <w:r>
        <w:rPr>
          <w:rFonts w:hint="eastAsia" w:eastAsia="仿宋_GB2312"/>
          <w:color w:val="000000" w:themeColor="text1"/>
          <w:sz w:val="32"/>
          <w:szCs w:val="32"/>
          <w:lang w:eastAsia="zh-CN"/>
          <w14:textFill>
            <w14:solidFill>
              <w14:schemeClr w14:val="tx1"/>
            </w14:solidFill>
          </w14:textFill>
        </w:rPr>
        <w:t>32/4041-2021）表2</w:t>
      </w:r>
      <w:r>
        <w:rPr>
          <w:rFonts w:hint="eastAsia" w:eastAsia="仿宋_GB2312"/>
          <w:color w:val="000000" w:themeColor="text1"/>
          <w:sz w:val="32"/>
          <w:szCs w:val="32"/>
          <w:lang w:val="en-US" w:eastAsia="zh-CN"/>
          <w14:textFill>
            <w14:solidFill>
              <w14:schemeClr w14:val="tx1"/>
            </w14:solidFill>
          </w14:textFill>
        </w:rPr>
        <w:t>相关标准限值。</w:t>
      </w:r>
    </w:p>
    <w:p w14:paraId="4CED641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（三）严格落实</w:t>
      </w:r>
      <w:r>
        <w:rPr>
          <w:rFonts w:hint="eastAsia" w:eastAsia="仿宋_GB2312"/>
          <w:color w:val="000000" w:themeColor="text1"/>
          <w:sz w:val="32"/>
          <w:szCs w:val="32"/>
          <w:highlight w:val="none"/>
          <w:lang w:val="en-US" w:eastAsia="zh-CN"/>
          <w14:textFill>
            <w14:solidFill>
              <w14:schemeClr w14:val="tx1"/>
            </w14:solidFill>
          </w14:textFill>
        </w:rPr>
        <w:t>报告提出的</w:t>
      </w:r>
      <w:r>
        <w:rPr>
          <w:rFonts w:hint="eastAsia" w:eastAsia="仿宋_GB2312"/>
          <w:color w:val="000000" w:themeColor="text1"/>
          <w:sz w:val="32"/>
          <w:szCs w:val="32"/>
          <w:highlight w:val="none"/>
          <w:lang w:eastAsia="zh-CN"/>
          <w14:textFill>
            <w14:solidFill>
              <w14:schemeClr w14:val="tx1"/>
            </w14:solidFill>
          </w14:textFill>
        </w:rPr>
        <w:t>减振等源头降噪措施，辅以厂房隔声、距离衰减、加</w:t>
      </w:r>
      <w:r>
        <w:rPr>
          <w:rFonts w:hint="eastAsia" w:eastAsia="仿宋_GB2312"/>
          <w:color w:val="000000" w:themeColor="text1"/>
          <w:sz w:val="32"/>
          <w:szCs w:val="32"/>
          <w:highlight w:val="none"/>
          <w:lang w:val="en-US" w:eastAsia="zh-CN"/>
          <w14:textFill>
            <w14:solidFill>
              <w14:schemeClr w14:val="tx1"/>
            </w14:solidFill>
          </w14:textFill>
        </w:rPr>
        <w:t>强管理等措施。厂界噪声应满足《工业企业厂界环境噪声排放标准》（GB12348-2008）2类标准要求，厂区北侧靠近道路一侧25m范围内执行4类标准。</w:t>
      </w:r>
    </w:p>
    <w:p w14:paraId="5DE24C4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四）严格落实固体废物污染防治措施。按“资源化、减量化、无害化”的处置原则，落实固体废物的收集、贮存和处置措施。本项目产生的固废主要有清洗废液、废活性炭、废边角料、废包装桶、废卷材、不合格产品。</w:t>
      </w:r>
      <w:r>
        <w:rPr>
          <w:rFonts w:hint="eastAsia" w:eastAsia="仿宋_GB2312"/>
          <w:color w:val="000000" w:themeColor="text1"/>
          <w:sz w:val="32"/>
          <w:szCs w:val="32"/>
          <w:highlight w:val="none"/>
          <w:lang w:val="en-US" w:eastAsia="zh-CN"/>
          <w14:textFill>
            <w14:solidFill>
              <w14:schemeClr w14:val="tx1"/>
            </w14:solidFill>
          </w14:textFill>
        </w:rPr>
        <w:t>其中</w:t>
      </w:r>
      <w:r>
        <w:rPr>
          <w:rFonts w:hint="eastAsia" w:eastAsia="仿宋_GB2312"/>
          <w:color w:val="000000" w:themeColor="text1"/>
          <w:sz w:val="32"/>
          <w:szCs w:val="32"/>
          <w:highlight w:val="none"/>
          <w:lang w:eastAsia="zh-CN"/>
          <w14:textFill>
            <w14:solidFill>
              <w14:schemeClr w14:val="tx1"/>
            </w14:solidFill>
          </w14:textFill>
        </w:rPr>
        <w:t>废边角料、废卷材、不合格产品</w:t>
      </w:r>
      <w:r>
        <w:rPr>
          <w:rFonts w:hint="eastAsia" w:eastAsia="仿宋_GB2312"/>
          <w:color w:val="000000" w:themeColor="text1"/>
          <w:sz w:val="32"/>
          <w:szCs w:val="32"/>
          <w:highlight w:val="none"/>
          <w:lang w:val="en-US" w:eastAsia="zh-CN"/>
          <w14:textFill>
            <w14:solidFill>
              <w14:schemeClr w14:val="tx1"/>
            </w14:solidFill>
          </w14:textFill>
        </w:rPr>
        <w:t>外售，依托</w:t>
      </w:r>
      <w:r>
        <w:rPr>
          <w:rFonts w:hint="eastAsia" w:eastAsia="仿宋_GB2312"/>
          <w:color w:val="000000" w:themeColor="text1"/>
          <w:sz w:val="32"/>
          <w:szCs w:val="32"/>
          <w:highlight w:val="none"/>
          <w:lang w:eastAsia="zh-CN"/>
          <w14:textFill>
            <w14:solidFill>
              <w14:schemeClr w14:val="tx1"/>
            </w14:solidFill>
          </w14:textFill>
        </w:rPr>
        <w:t>现有100m</w:t>
      </w:r>
      <w:r>
        <w:rPr>
          <w:rFonts w:hint="eastAsia" w:eastAsia="仿宋_GB2312"/>
          <w:color w:val="000000" w:themeColor="text1"/>
          <w:sz w:val="32"/>
          <w:szCs w:val="32"/>
          <w:highlight w:val="none"/>
          <w:vertAlign w:val="superscript"/>
          <w:lang w:eastAsia="zh-CN"/>
          <w14:textFill>
            <w14:solidFill>
              <w14:schemeClr w14:val="tx1"/>
            </w14:solidFill>
          </w14:textFill>
        </w:rPr>
        <w:t>2</w:t>
      </w:r>
      <w:r>
        <w:rPr>
          <w:rFonts w:hint="eastAsia" w:eastAsia="仿宋_GB2312"/>
          <w:color w:val="000000" w:themeColor="text1"/>
          <w:sz w:val="32"/>
          <w:szCs w:val="32"/>
          <w:highlight w:val="none"/>
          <w:lang w:eastAsia="zh-CN"/>
          <w14:textFill>
            <w14:solidFill>
              <w14:schemeClr w14:val="tx1"/>
            </w14:solidFill>
          </w14:textFill>
        </w:rPr>
        <w:t>一般固废仓库暂存。一般工业固废贮存、转移及处置</w:t>
      </w:r>
      <w:r>
        <w:rPr>
          <w:rFonts w:hint="eastAsia" w:eastAsia="仿宋_GB2312"/>
          <w:color w:val="000000" w:themeColor="text1"/>
          <w:sz w:val="32"/>
          <w:szCs w:val="32"/>
          <w:highlight w:val="none"/>
          <w:lang w:val="en-US" w:eastAsia="zh-CN"/>
          <w14:textFill>
            <w14:solidFill>
              <w14:schemeClr w14:val="tx1"/>
            </w14:solidFill>
          </w14:textFill>
        </w:rPr>
        <w:t>应满足</w:t>
      </w:r>
      <w:r>
        <w:rPr>
          <w:rFonts w:hint="eastAsia" w:eastAsia="仿宋_GB2312"/>
          <w:color w:val="000000" w:themeColor="text1"/>
          <w:sz w:val="32"/>
          <w:szCs w:val="32"/>
          <w:highlight w:val="none"/>
          <w:lang w:eastAsia="zh-CN"/>
          <w14:textFill>
            <w14:solidFill>
              <w14:schemeClr w14:val="tx1"/>
            </w14:solidFill>
          </w14:textFill>
        </w:rPr>
        <w:t>《一般工业固体废物贮存和填埋污染控制标准》（GB18599-2020）中相关标准。废包装桶、废活性炭、清洗废液委托有资质单位处置，</w:t>
      </w:r>
      <w:r>
        <w:rPr>
          <w:rFonts w:hint="eastAsia" w:eastAsia="仿宋_GB2312"/>
          <w:color w:val="000000" w:themeColor="text1"/>
          <w:sz w:val="32"/>
          <w:szCs w:val="32"/>
          <w:highlight w:val="none"/>
          <w:lang w:val="en-US" w:eastAsia="zh-CN"/>
          <w14:textFill>
            <w14:solidFill>
              <w14:schemeClr w14:val="tx1"/>
            </w14:solidFill>
          </w14:textFill>
        </w:rPr>
        <w:t>依托</w:t>
      </w:r>
      <w:r>
        <w:rPr>
          <w:rFonts w:hint="eastAsia" w:eastAsia="仿宋_GB2312"/>
          <w:color w:val="000000" w:themeColor="text1"/>
          <w:sz w:val="32"/>
          <w:szCs w:val="32"/>
          <w:highlight w:val="none"/>
          <w:lang w:eastAsia="zh-CN"/>
          <w14:textFill>
            <w14:solidFill>
              <w14:schemeClr w14:val="tx1"/>
            </w14:solidFill>
          </w14:textFill>
        </w:rPr>
        <w:t>现有</w:t>
      </w:r>
      <w:r>
        <w:rPr>
          <w:rFonts w:hint="eastAsia" w:eastAsia="仿宋_GB2312"/>
          <w:color w:val="000000" w:themeColor="text1"/>
          <w:sz w:val="32"/>
          <w:szCs w:val="32"/>
          <w:highlight w:val="none"/>
          <w:lang w:val="en-US" w:eastAsia="zh-CN"/>
          <w14:textFill>
            <w14:solidFill>
              <w14:schemeClr w14:val="tx1"/>
            </w14:solidFill>
          </w14:textFill>
        </w:rPr>
        <w:t>3</w:t>
      </w:r>
      <w:r>
        <w:rPr>
          <w:rFonts w:hint="eastAsia" w:eastAsia="仿宋_GB2312"/>
          <w:color w:val="000000" w:themeColor="text1"/>
          <w:sz w:val="32"/>
          <w:szCs w:val="32"/>
          <w:highlight w:val="none"/>
          <w:lang w:eastAsia="zh-CN"/>
          <w14:textFill>
            <w14:solidFill>
              <w14:schemeClr w14:val="tx1"/>
            </w14:solidFill>
          </w14:textFill>
        </w:rPr>
        <w:t>0m</w:t>
      </w:r>
      <w:r>
        <w:rPr>
          <w:rFonts w:hint="eastAsia" w:eastAsia="仿宋_GB2312"/>
          <w:color w:val="000000" w:themeColor="text1"/>
          <w:sz w:val="32"/>
          <w:szCs w:val="32"/>
          <w:highlight w:val="none"/>
          <w:vertAlign w:val="superscript"/>
          <w:lang w:eastAsia="zh-CN"/>
          <w14:textFill>
            <w14:solidFill>
              <w14:schemeClr w14:val="tx1"/>
            </w14:solidFill>
          </w14:textFill>
        </w:rPr>
        <w:t>2</w:t>
      </w:r>
      <w:r>
        <w:rPr>
          <w:rFonts w:hint="eastAsia" w:eastAsia="仿宋_GB2312"/>
          <w:color w:val="000000" w:themeColor="text1"/>
          <w:sz w:val="32"/>
          <w:szCs w:val="32"/>
          <w:highlight w:val="none"/>
          <w:lang w:val="en-US" w:eastAsia="zh-CN"/>
          <w14:textFill>
            <w14:solidFill>
              <w14:schemeClr w14:val="tx1"/>
            </w14:solidFill>
          </w14:textFill>
        </w:rPr>
        <w:t>危废库贮存</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危险固废厂内暂存执行《危险废物贮存污染控制标准》（GB18597-2023）的有关规定要求。危险废物的转移须严格按照《危险废物转移联单管理办法》执行。同时应按照《省生态环境厅关于做好〈国家危险废物名录〉（2025版）实施后危险废物环境管理衔接工作的通知》（苏环办〔2024〕304号）、《江苏省固体废物全过程环境监管工作意见》（苏环办〔2024〕116号）等相关要求执行。</w:t>
      </w:r>
    </w:p>
    <w:p w14:paraId="5C10594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（五）加强设备运行及环境风险管理，落实《报告表》提出的风险防范措施，</w:t>
      </w:r>
      <w:r>
        <w:rPr>
          <w:rFonts w:hint="eastAsia" w:eastAsia="仿宋_GB2312"/>
          <w:color w:val="000000" w:themeColor="text1"/>
          <w:sz w:val="32"/>
          <w:szCs w:val="32"/>
          <w:highlight w:val="none"/>
          <w:lang w:val="en-US" w:eastAsia="zh-CN"/>
          <w14:textFill>
            <w14:solidFill>
              <w14:schemeClr w14:val="tx1"/>
            </w14:solidFill>
          </w14:textFill>
        </w:rPr>
        <w:t>更新</w:t>
      </w:r>
      <w:r>
        <w:rPr>
          <w:rFonts w:hint="eastAsia" w:eastAsia="仿宋_GB2312"/>
          <w:color w:val="000000" w:themeColor="text1"/>
          <w:sz w:val="32"/>
          <w:szCs w:val="32"/>
          <w:highlight w:val="none"/>
          <w:lang w:eastAsia="zh-CN"/>
          <w14:textFill>
            <w14:solidFill>
              <w14:schemeClr w14:val="tx1"/>
            </w14:solidFill>
          </w14:textFill>
        </w:rPr>
        <w:t>全厂突发环境事故应急预案，采取切实可行的工程控制和管理措施，防止发生污染事故，</w:t>
      </w:r>
      <w:r>
        <w:rPr>
          <w:rFonts w:hint="eastAsia" w:eastAsia="仿宋_GB2312"/>
          <w:color w:val="000000" w:themeColor="text1"/>
          <w:sz w:val="32"/>
          <w:szCs w:val="32"/>
          <w:highlight w:val="none"/>
          <w:lang w:val="en-US" w:eastAsia="zh-CN"/>
          <w14:textFill>
            <w14:solidFill>
              <w14:schemeClr w14:val="tx1"/>
            </w14:solidFill>
          </w14:textFill>
        </w:rPr>
        <w:t>同时开展</w:t>
      </w:r>
      <w:r>
        <w:rPr>
          <w:rFonts w:hint="eastAsia" w:eastAsia="仿宋_GB2312"/>
          <w:color w:val="000000" w:themeColor="text1"/>
          <w:sz w:val="32"/>
          <w:szCs w:val="32"/>
          <w:highlight w:val="none"/>
          <w:lang w:eastAsia="zh-CN"/>
          <w14:textFill>
            <w14:solidFill>
              <w14:schemeClr w14:val="tx1"/>
            </w14:solidFill>
          </w14:textFill>
        </w:rPr>
        <w:t>环保设施</w:t>
      </w:r>
      <w:r>
        <w:rPr>
          <w:rFonts w:hint="eastAsia" w:eastAsia="仿宋_GB2312"/>
          <w:color w:val="000000" w:themeColor="text1"/>
          <w:sz w:val="32"/>
          <w:szCs w:val="32"/>
          <w:highlight w:val="none"/>
          <w:lang w:val="en-US" w:eastAsia="zh-CN"/>
          <w14:textFill>
            <w14:solidFill>
              <w14:schemeClr w14:val="tx1"/>
            </w14:solidFill>
          </w14:textFill>
        </w:rPr>
        <w:t>安全风险辨识，关注</w:t>
      </w:r>
      <w:r>
        <w:rPr>
          <w:rFonts w:hint="eastAsia" w:eastAsia="仿宋_GB2312"/>
          <w:color w:val="000000" w:themeColor="text1"/>
          <w:sz w:val="32"/>
          <w:szCs w:val="32"/>
          <w:highlight w:val="none"/>
          <w:lang w:eastAsia="zh-CN"/>
          <w14:textFill>
            <w14:solidFill>
              <w14:schemeClr w14:val="tx1"/>
            </w14:solidFill>
          </w14:textFill>
        </w:rPr>
        <w:t>环保设施安全风险评估工作。做好重点区域防渗措施，防止土壤和地下水污染。</w:t>
      </w:r>
    </w:p>
    <w:p w14:paraId="4A6408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（六）按照《江苏省排污口设置及规范化整治管理办法》的规定设置排污口和标志。按《报告表》提出的环境管理与监测计划实施日常环境管理与监测</w:t>
      </w:r>
      <w:r>
        <w:rPr>
          <w:rFonts w:eastAsia="仿宋_GB2312"/>
          <w:color w:val="000000" w:themeColor="text1"/>
          <w:sz w:val="32"/>
          <w:szCs w:val="32"/>
          <w:highlight w:val="none"/>
          <w14:textFill>
            <w14:solidFill>
              <w14:schemeClr w14:val="tx1"/>
            </w14:solidFill>
          </w14:textFill>
        </w:rPr>
        <w:t>。</w:t>
      </w:r>
    </w:p>
    <w:p w14:paraId="7AEAF21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四、本项目实施后</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主要</w:t>
      </w:r>
      <w:r>
        <w:rPr>
          <w:rFonts w:eastAsia="仿宋_GB2312"/>
          <w:color w:val="000000" w:themeColor="text1"/>
          <w:sz w:val="32"/>
          <w:szCs w:val="32"/>
          <w:highlight w:val="none"/>
          <w14:textFill>
            <w14:solidFill>
              <w14:schemeClr w14:val="tx1"/>
            </w14:solidFill>
          </w14:textFill>
        </w:rPr>
        <w:t>污染物年排放总量核定为：</w:t>
      </w:r>
    </w:p>
    <w:p w14:paraId="3953031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（一）本项目</w:t>
      </w:r>
    </w:p>
    <w:p w14:paraId="7D642C55">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大气污染物</w:t>
      </w:r>
      <w:r>
        <w:rPr>
          <w:rFonts w:hint="eastAsia" w:eastAsia="仿宋_GB2312"/>
          <w:color w:val="000000" w:themeColor="text1"/>
          <w:sz w:val="32"/>
          <w:szCs w:val="32"/>
          <w:highlight w:val="none"/>
          <w:lang w:val="en-US" w:eastAsia="zh-CN"/>
          <w14:textFill>
            <w14:solidFill>
              <w14:schemeClr w14:val="tx1"/>
            </w14:solidFill>
          </w14:textFill>
        </w:rPr>
        <w:t>：VOCs≤0.0446t/a</w:t>
      </w:r>
      <w:r>
        <w:rPr>
          <w:rFonts w:eastAsia="仿宋_GB2312"/>
          <w:color w:val="000000" w:themeColor="text1"/>
          <w:sz w:val="32"/>
          <w:szCs w:val="32"/>
          <w:highlight w:val="none"/>
          <w14:textFill>
            <w14:solidFill>
              <w14:schemeClr w14:val="tx1"/>
            </w14:solidFill>
          </w14:textFill>
        </w:rPr>
        <w:t>。</w:t>
      </w:r>
    </w:p>
    <w:p w14:paraId="459ED0BE">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水污染物：无新增。</w:t>
      </w:r>
    </w:p>
    <w:p w14:paraId="323B4F92">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固体废物：零排放。</w:t>
      </w:r>
    </w:p>
    <w:p w14:paraId="31841C20">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建成后全厂</w:t>
      </w:r>
    </w:p>
    <w:p w14:paraId="434560DE">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（1）废气总量：颗粒物</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0.12t/a，VOCs</w:t>
      </w:r>
      <w:r>
        <w:rPr>
          <w:rFonts w:hint="eastAsia"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0.1412</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t/a（包括四氢呋喃0.00685t/a）。</w:t>
      </w:r>
    </w:p>
    <w:p w14:paraId="3C3A15CA">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（2）废水总量（接管考核量）：废水量</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8072.2m</w:t>
      </w:r>
      <w:r>
        <w:rPr>
          <w:rFonts w:hint="eastAsia" w:ascii="Times New Roman" w:hAnsi="Times New Roman" w:eastAsia="仿宋_GB2312" w:cs="Times New Roman"/>
          <w:color w:val="000000" w:themeColor="text1"/>
          <w:sz w:val="32"/>
          <w:szCs w:val="32"/>
          <w:highlight w:val="none"/>
          <w:vertAlign w:val="superscript"/>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/a，COD</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4.211t/a、SS</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2.982t/a、NH</w:t>
      </w:r>
      <w:r>
        <w:rPr>
          <w:rFonts w:hint="eastAsia" w:ascii="Times New Roman" w:hAnsi="Times New Roman" w:eastAsia="仿宋_GB2312" w:cs="Times New Roman"/>
          <w:color w:val="000000" w:themeColor="text1"/>
          <w:sz w:val="32"/>
          <w:szCs w:val="32"/>
          <w:highlight w:val="none"/>
          <w:vertAlign w:val="subscript"/>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-N</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0.048t/a、TP</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0.002t/a、TN</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0.010t/a；</w:t>
      </w:r>
    </w:p>
    <w:p w14:paraId="0731281A">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废水最终外排环境量：废水量</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83736m</w:t>
      </w:r>
      <w:r>
        <w:rPr>
          <w:rFonts w:hint="eastAsia" w:ascii="Times New Roman" w:hAnsi="Times New Roman" w:eastAsia="仿宋_GB2312" w:cs="Times New Roman"/>
          <w:color w:val="000000" w:themeColor="text1"/>
          <w:sz w:val="32"/>
          <w:szCs w:val="32"/>
          <w:highlight w:val="none"/>
          <w:vertAlign w:val="superscript"/>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/a，COD</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0.4011t/a、NH</w:t>
      </w:r>
      <w:r>
        <w:rPr>
          <w:rFonts w:hint="eastAsia" w:ascii="Times New Roman" w:hAnsi="Times New Roman" w:eastAsia="仿宋_GB2312" w:cs="Times New Roman"/>
          <w:color w:val="000000" w:themeColor="text1"/>
          <w:sz w:val="32"/>
          <w:szCs w:val="32"/>
          <w:highlight w:val="none"/>
          <w:vertAlign w:val="subscript"/>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-N</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0.0379t/a、TP</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0.0041t/a、TN</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0.1211t/a。</w:t>
      </w:r>
    </w:p>
    <w:p w14:paraId="314C5B4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固体废物</w:t>
      </w:r>
      <w:r>
        <w:rPr>
          <w:rFonts w:eastAsia="仿宋_GB2312"/>
          <w:color w:val="000000" w:themeColor="text1"/>
          <w:sz w:val="32"/>
          <w:szCs w:val="32"/>
          <w:highlight w:val="none"/>
          <w14:textFill>
            <w14:solidFill>
              <w14:schemeClr w14:val="tx1"/>
            </w14:solidFill>
          </w14:textFill>
        </w:rPr>
        <w:t>：全部综合利用或安全处置。</w:t>
      </w:r>
    </w:p>
    <w:p w14:paraId="58944DA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五、</w:t>
      </w:r>
      <w:r>
        <w:rPr>
          <w:rFonts w:eastAsia="仿宋_GB2312"/>
          <w:color w:val="000000" w:themeColor="text1"/>
          <w:sz w:val="32"/>
          <w:szCs w:val="32"/>
          <w:highlight w:val="none"/>
          <w14:textFill>
            <w14:solidFill>
              <w14:schemeClr w14:val="tx1"/>
            </w14:solidFill>
          </w14:textFill>
        </w:rPr>
        <w:t>项目建设必须严格执行环境保护</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三同时</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制度</w:t>
      </w:r>
      <w:r>
        <w:rPr>
          <w:rFonts w:hint="eastAsia" w:eastAsia="仿宋_GB2312"/>
          <w:color w:val="000000" w:themeColor="text1"/>
          <w:sz w:val="32"/>
          <w:szCs w:val="32"/>
          <w:highlight w:val="none"/>
          <w:lang w:eastAsia="zh-CN"/>
          <w14:textFill>
            <w14:solidFill>
              <w14:schemeClr w14:val="tx1"/>
            </w14:solidFill>
          </w14:textFill>
        </w:rPr>
        <w:t>，必</w:t>
      </w:r>
      <w:r>
        <w:rPr>
          <w:rFonts w:eastAsia="仿宋_GB2312"/>
          <w:color w:val="000000" w:themeColor="text1"/>
          <w:sz w:val="32"/>
          <w:szCs w:val="32"/>
          <w:highlight w:val="none"/>
          <w14:textFill>
            <w14:solidFill>
              <w14:schemeClr w14:val="tx1"/>
            </w14:solidFill>
          </w14:textFill>
        </w:rPr>
        <w:t>须按规定程序实施竣工环境保护验收</w:t>
      </w:r>
      <w:r>
        <w:rPr>
          <w:rFonts w:hint="eastAsia" w:eastAsia="仿宋_GB2312"/>
          <w:color w:val="000000" w:themeColor="text1"/>
          <w:sz w:val="32"/>
          <w:szCs w:val="32"/>
          <w:highlight w:val="none"/>
          <w14:textFill>
            <w14:solidFill>
              <w14:schemeClr w14:val="tx1"/>
            </w14:solidFill>
          </w14:textFill>
        </w:rPr>
        <w:t>。</w:t>
      </w:r>
    </w:p>
    <w:p w14:paraId="6F59531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六、</w:t>
      </w:r>
      <w:r>
        <w:rPr>
          <w:rFonts w:eastAsia="仿宋_GB2312"/>
          <w:color w:val="000000" w:themeColor="text1"/>
          <w:sz w:val="32"/>
          <w:szCs w:val="32"/>
          <w:highlight w:val="none"/>
          <w14:textFill>
            <w14:solidFill>
              <w14:schemeClr w14:val="tx1"/>
            </w14:solidFill>
          </w14:textFill>
        </w:rPr>
        <w:t>项目建设</w:t>
      </w:r>
      <w:r>
        <w:rPr>
          <w:rFonts w:hint="eastAsia" w:eastAsia="仿宋_GB2312"/>
          <w:color w:val="000000" w:themeColor="text1"/>
          <w:sz w:val="32"/>
          <w:szCs w:val="32"/>
          <w:highlight w:val="none"/>
          <w14:textFill>
            <w14:solidFill>
              <w14:schemeClr w14:val="tx1"/>
            </w14:solidFill>
          </w14:textFill>
        </w:rPr>
        <w:t>和运行</w:t>
      </w:r>
      <w:r>
        <w:rPr>
          <w:rFonts w:eastAsia="仿宋_GB2312"/>
          <w:color w:val="000000" w:themeColor="text1"/>
          <w:sz w:val="32"/>
          <w:szCs w:val="32"/>
          <w:highlight w:val="none"/>
          <w14:textFill>
            <w14:solidFill>
              <w14:schemeClr w14:val="tx1"/>
            </w14:solidFill>
          </w14:textFill>
        </w:rPr>
        <w:t>期间的环境监管由连云港市生态环境局高新区分局负责。</w:t>
      </w:r>
    </w:p>
    <w:p w14:paraId="003D72C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七</w:t>
      </w:r>
      <w:r>
        <w:rPr>
          <w:rFonts w:eastAsia="仿宋_GB2312"/>
          <w:color w:val="000000" w:themeColor="text1"/>
          <w:sz w:val="32"/>
          <w:szCs w:val="32"/>
          <w:highlight w:val="none"/>
          <w14:textFill>
            <w14:solidFill>
              <w14:schemeClr w14:val="tx1"/>
            </w14:solidFill>
          </w14:textFill>
        </w:rPr>
        <w:t>、项目的性质、规模、地点</w:t>
      </w:r>
      <w:r>
        <w:rPr>
          <w:rFonts w:hint="eastAsia" w:eastAsia="仿宋_GB2312"/>
          <w:color w:val="000000" w:themeColor="text1"/>
          <w:sz w:val="32"/>
          <w:szCs w:val="32"/>
          <w:highlight w:val="none"/>
          <w14:textFill>
            <w14:solidFill>
              <w14:schemeClr w14:val="tx1"/>
            </w14:solidFill>
          </w14:textFill>
        </w:rPr>
        <w:t>、采用的生产工艺</w:t>
      </w:r>
      <w:r>
        <w:rPr>
          <w:rFonts w:eastAsia="仿宋_GB2312"/>
          <w:color w:val="000000" w:themeColor="text1"/>
          <w:sz w:val="32"/>
          <w:szCs w:val="32"/>
          <w:highlight w:val="none"/>
          <w14:textFill>
            <w14:solidFill>
              <w14:schemeClr w14:val="tx1"/>
            </w14:solidFill>
          </w14:textFill>
        </w:rPr>
        <w:t>或者防治污染、防止生态破坏的措施发生重大变动的</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应当重新报批项目的环境影响评价文件。项目自批准之日起超过五年方开工建设的</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环评文件须重新报审。</w:t>
      </w:r>
    </w:p>
    <w:p w14:paraId="323B7C3B">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yellow"/>
          <w14:textFill>
            <w14:solidFill>
              <w14:schemeClr w14:val="tx1"/>
            </w14:solidFill>
          </w14:textFill>
        </w:rPr>
      </w:pPr>
    </w:p>
    <w:p w14:paraId="116FB292">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yellow"/>
          <w14:textFill>
            <w14:solidFill>
              <w14:schemeClr w14:val="tx1"/>
            </w14:solidFill>
          </w14:textFill>
        </w:rPr>
      </w:pPr>
    </w:p>
    <w:p w14:paraId="58D98C19">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eastAsia="仿宋_GB2312"/>
          <w:color w:val="000000" w:themeColor="text1"/>
          <w:sz w:val="32"/>
          <w:szCs w:val="32"/>
          <w:highlight w:val="yellow"/>
          <w14:textFill>
            <w14:solidFill>
              <w14:schemeClr w14:val="tx1"/>
            </w14:solidFill>
          </w14:textFill>
        </w:rPr>
      </w:pPr>
    </w:p>
    <w:p w14:paraId="47BAF7B8">
      <w:pPr>
        <w:keepNext w:val="0"/>
        <w:keepLines w:val="0"/>
        <w:pageBreakBefore w:val="0"/>
        <w:kinsoku/>
        <w:overflowPunct/>
        <w:topLinePunct w:val="0"/>
        <w:autoSpaceDE/>
        <w:autoSpaceDN/>
        <w:bidi w:val="0"/>
        <w:adjustRightInd w:val="0"/>
        <w:snapToGrid w:val="0"/>
        <w:spacing w:line="560" w:lineRule="exact"/>
        <w:ind w:firstLine="2720" w:firstLineChars="85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连云港高新技术产业开发区行政审批局</w:t>
      </w:r>
    </w:p>
    <w:p w14:paraId="28DF743C">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202</w:t>
      </w:r>
      <w:r>
        <w:rPr>
          <w:rFonts w:hint="eastAsia" w:eastAsia="仿宋_GB2312"/>
          <w:color w:val="000000" w:themeColor="text1"/>
          <w:sz w:val="32"/>
          <w:szCs w:val="32"/>
          <w:highlight w:val="none"/>
          <w:lang w:val="en-US" w:eastAsia="zh-CN"/>
          <w14:textFill>
            <w14:solidFill>
              <w14:schemeClr w14:val="tx1"/>
            </w14:solidFill>
          </w14:textFill>
        </w:rPr>
        <w:t>6</w:t>
      </w:r>
      <w:r>
        <w:rPr>
          <w:rFonts w:eastAsia="仿宋_GB2312"/>
          <w:color w:val="000000" w:themeColor="text1"/>
          <w:sz w:val="32"/>
          <w:szCs w:val="32"/>
          <w:highlight w:val="none"/>
          <w14:textFill>
            <w14:solidFill>
              <w14:schemeClr w14:val="tx1"/>
            </w14:solidFill>
          </w14:textFill>
        </w:rPr>
        <w:t>年</w:t>
      </w:r>
      <w:r>
        <w:rPr>
          <w:rFonts w:hint="eastAsia" w:eastAsia="仿宋_GB2312"/>
          <w:color w:val="000000" w:themeColor="text1"/>
          <w:sz w:val="32"/>
          <w:szCs w:val="32"/>
          <w:highlight w:val="none"/>
          <w:lang w:val="en-US" w:eastAsia="zh-CN"/>
          <w14:textFill>
            <w14:solidFill>
              <w14:schemeClr w14:val="tx1"/>
            </w14:solidFill>
          </w14:textFill>
        </w:rPr>
        <w:t>5</w:t>
      </w:r>
      <w:r>
        <w:rPr>
          <w:rFonts w:eastAsia="仿宋_GB2312"/>
          <w:color w:val="000000" w:themeColor="text1"/>
          <w:sz w:val="32"/>
          <w:szCs w:val="32"/>
          <w:highlight w:val="none"/>
          <w14:textFill>
            <w14:solidFill>
              <w14:schemeClr w14:val="tx1"/>
            </w14:solidFill>
          </w14:textFill>
        </w:rPr>
        <w:t>月</w:t>
      </w:r>
      <w:r>
        <w:rPr>
          <w:rFonts w:hint="eastAsia" w:eastAsia="仿宋_GB2312"/>
          <w:color w:val="000000" w:themeColor="text1"/>
          <w:sz w:val="32"/>
          <w:szCs w:val="32"/>
          <w:highlight w:val="none"/>
          <w:lang w:val="en-US" w:eastAsia="zh-CN"/>
          <w14:textFill>
            <w14:solidFill>
              <w14:schemeClr w14:val="tx1"/>
            </w14:solidFill>
          </w14:textFill>
        </w:rPr>
        <w:t>28</w:t>
      </w:r>
      <w:r>
        <w:rPr>
          <w:rFonts w:eastAsia="仿宋_GB2312"/>
          <w:color w:val="000000" w:themeColor="text1"/>
          <w:sz w:val="32"/>
          <w:szCs w:val="32"/>
          <w:highlight w:val="none"/>
          <w14:textFill>
            <w14:solidFill>
              <w14:schemeClr w14:val="tx1"/>
            </w14:solidFill>
          </w14:textFill>
        </w:rPr>
        <w:t>日</w:t>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p>
    <w:p w14:paraId="678BE906">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447D09CB">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7975B938">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1AFD1331">
      <w:pPr>
        <w:keepNext w:val="0"/>
        <w:keepLines w:val="0"/>
        <w:pageBreakBefore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p>
    <w:p w14:paraId="6B0BD97D">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28124C9B">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19E0DA35">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0A0BD583">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177198B0">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6EDD0437">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59B5D463">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35086CE0">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3E47FDF7">
      <w:pPr>
        <w:keepNext w:val="0"/>
        <w:keepLines w:val="0"/>
        <w:pageBreakBefore w:val="0"/>
        <w:kinsoku/>
        <w:wordWrap/>
        <w:overflowPunct/>
        <w:topLinePunct w:val="0"/>
        <w:autoSpaceDE/>
        <w:autoSpaceDN/>
        <w:bidi w:val="0"/>
        <w:adjustRightInd w:val="0"/>
        <w:snapToGrid w:val="0"/>
        <w:spacing w:line="560" w:lineRule="exact"/>
        <w:ind w:firstLine="640" w:firstLineChars="200"/>
        <w:jc w:val="right"/>
        <w:textAlignment w:val="auto"/>
        <w:rPr>
          <w:rFonts w:hint="eastAsia" w:eastAsia="仿宋_GB2312"/>
          <w:color w:val="000000" w:themeColor="text1"/>
          <w:sz w:val="32"/>
          <w:szCs w:val="32"/>
          <w:highlight w:val="none"/>
          <w:lang w:val="en-US" w:eastAsia="zh-CN"/>
          <w14:textFill>
            <w14:solidFill>
              <w14:schemeClr w14:val="tx1"/>
            </w14:solidFill>
          </w14:textFill>
        </w:rPr>
      </w:pPr>
    </w:p>
    <w:p w14:paraId="69CACB0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抄送：连云港市生态环境局高新区分局</w:t>
      </w:r>
      <w:r>
        <w:rPr>
          <w:rFonts w:hint="eastAsia" w:eastAsia="仿宋_GB2312"/>
          <w:color w:val="000000" w:themeColor="text1"/>
          <w:sz w:val="32"/>
          <w:szCs w:val="32"/>
          <w:highlight w:val="none"/>
          <w:lang w:eastAsia="zh-CN"/>
          <w14:textFill>
            <w14:solidFill>
              <w14:schemeClr w14:val="tx1"/>
            </w14:solidFill>
          </w14:textFill>
        </w:rPr>
        <w:t>，江苏联平安全环境技术研究有限公司</w:t>
      </w:r>
      <w:bookmarkStart w:id="1" w:name="_GoBack"/>
      <w:bookmarkEnd w:id="1"/>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IDFont+F1">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6DCE9">
    <w:pPr>
      <w:pStyle w:val="6"/>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14:paraId="049A203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CBF48">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14:paraId="550BC8E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D1D76D"/>
    <w:multiLevelType w:val="singleLevel"/>
    <w:tmpl w:val="D3D1D7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MzhhYjMxNzg4Nzg2N2JiODVkN2JiZTdhNGUyNTEifQ=="/>
  </w:docVars>
  <w:rsids>
    <w:rsidRoot w:val="00A33778"/>
    <w:rsid w:val="000059B3"/>
    <w:rsid w:val="00011597"/>
    <w:rsid w:val="00024404"/>
    <w:rsid w:val="00025971"/>
    <w:rsid w:val="00053016"/>
    <w:rsid w:val="00053BD9"/>
    <w:rsid w:val="00063BEE"/>
    <w:rsid w:val="00064CEA"/>
    <w:rsid w:val="00093DAE"/>
    <w:rsid w:val="000A4E84"/>
    <w:rsid w:val="000C2272"/>
    <w:rsid w:val="000C578E"/>
    <w:rsid w:val="000D5994"/>
    <w:rsid w:val="00100764"/>
    <w:rsid w:val="00101347"/>
    <w:rsid w:val="00104E77"/>
    <w:rsid w:val="00107B67"/>
    <w:rsid w:val="00123F43"/>
    <w:rsid w:val="00135FB3"/>
    <w:rsid w:val="0016210A"/>
    <w:rsid w:val="001660B3"/>
    <w:rsid w:val="0017326B"/>
    <w:rsid w:val="001777C6"/>
    <w:rsid w:val="001969C2"/>
    <w:rsid w:val="001A5080"/>
    <w:rsid w:val="001B3CA1"/>
    <w:rsid w:val="001C09A0"/>
    <w:rsid w:val="001C3C15"/>
    <w:rsid w:val="001D495D"/>
    <w:rsid w:val="001D4E75"/>
    <w:rsid w:val="001E0A52"/>
    <w:rsid w:val="001F0518"/>
    <w:rsid w:val="0021592F"/>
    <w:rsid w:val="00235633"/>
    <w:rsid w:val="00241825"/>
    <w:rsid w:val="00257185"/>
    <w:rsid w:val="0025762B"/>
    <w:rsid w:val="00260A29"/>
    <w:rsid w:val="00261377"/>
    <w:rsid w:val="00261868"/>
    <w:rsid w:val="00265830"/>
    <w:rsid w:val="00282A85"/>
    <w:rsid w:val="00290E82"/>
    <w:rsid w:val="002921D2"/>
    <w:rsid w:val="002962B7"/>
    <w:rsid w:val="002A12EE"/>
    <w:rsid w:val="002A305B"/>
    <w:rsid w:val="002B0374"/>
    <w:rsid w:val="002B7B42"/>
    <w:rsid w:val="002C1DD6"/>
    <w:rsid w:val="002C215D"/>
    <w:rsid w:val="002D59FE"/>
    <w:rsid w:val="002F2386"/>
    <w:rsid w:val="002F52C1"/>
    <w:rsid w:val="00307056"/>
    <w:rsid w:val="00317D8A"/>
    <w:rsid w:val="00326697"/>
    <w:rsid w:val="003368FE"/>
    <w:rsid w:val="00346599"/>
    <w:rsid w:val="00353552"/>
    <w:rsid w:val="0036127B"/>
    <w:rsid w:val="00362AAE"/>
    <w:rsid w:val="003638F2"/>
    <w:rsid w:val="003643FE"/>
    <w:rsid w:val="00367E1D"/>
    <w:rsid w:val="00370A26"/>
    <w:rsid w:val="00374855"/>
    <w:rsid w:val="00374CCA"/>
    <w:rsid w:val="003762C7"/>
    <w:rsid w:val="00381859"/>
    <w:rsid w:val="00395332"/>
    <w:rsid w:val="003A42C6"/>
    <w:rsid w:val="003B374D"/>
    <w:rsid w:val="003B6CB1"/>
    <w:rsid w:val="003C02D9"/>
    <w:rsid w:val="003D3681"/>
    <w:rsid w:val="003E3B7D"/>
    <w:rsid w:val="003F3575"/>
    <w:rsid w:val="00400B23"/>
    <w:rsid w:val="004027F2"/>
    <w:rsid w:val="0040331B"/>
    <w:rsid w:val="00405D67"/>
    <w:rsid w:val="004067A1"/>
    <w:rsid w:val="00407980"/>
    <w:rsid w:val="0041401B"/>
    <w:rsid w:val="0042713D"/>
    <w:rsid w:val="0043253D"/>
    <w:rsid w:val="004512EF"/>
    <w:rsid w:val="004639D4"/>
    <w:rsid w:val="00467A4C"/>
    <w:rsid w:val="00484C9A"/>
    <w:rsid w:val="004A2CE3"/>
    <w:rsid w:val="004A3D8B"/>
    <w:rsid w:val="004A5EF5"/>
    <w:rsid w:val="004B2573"/>
    <w:rsid w:val="004B4849"/>
    <w:rsid w:val="004B7C59"/>
    <w:rsid w:val="004C3DC8"/>
    <w:rsid w:val="004C426E"/>
    <w:rsid w:val="004C634C"/>
    <w:rsid w:val="004F79AA"/>
    <w:rsid w:val="00510EAF"/>
    <w:rsid w:val="00522A1F"/>
    <w:rsid w:val="00534A5E"/>
    <w:rsid w:val="0054249B"/>
    <w:rsid w:val="005432FD"/>
    <w:rsid w:val="00543541"/>
    <w:rsid w:val="0054508C"/>
    <w:rsid w:val="005472CC"/>
    <w:rsid w:val="005534FB"/>
    <w:rsid w:val="00556D6E"/>
    <w:rsid w:val="00556D9C"/>
    <w:rsid w:val="00562D41"/>
    <w:rsid w:val="00564609"/>
    <w:rsid w:val="00567E19"/>
    <w:rsid w:val="00571E37"/>
    <w:rsid w:val="00573300"/>
    <w:rsid w:val="00580144"/>
    <w:rsid w:val="00582329"/>
    <w:rsid w:val="0058444E"/>
    <w:rsid w:val="005976E9"/>
    <w:rsid w:val="00597F6E"/>
    <w:rsid w:val="005A206F"/>
    <w:rsid w:val="005A68E6"/>
    <w:rsid w:val="005B5556"/>
    <w:rsid w:val="005C708E"/>
    <w:rsid w:val="005C79FA"/>
    <w:rsid w:val="005D4278"/>
    <w:rsid w:val="005D577F"/>
    <w:rsid w:val="005D608E"/>
    <w:rsid w:val="005D75CE"/>
    <w:rsid w:val="005E3D4A"/>
    <w:rsid w:val="005E5075"/>
    <w:rsid w:val="005E7EE4"/>
    <w:rsid w:val="00600124"/>
    <w:rsid w:val="00600CB7"/>
    <w:rsid w:val="00600FF3"/>
    <w:rsid w:val="006124A7"/>
    <w:rsid w:val="00613B2D"/>
    <w:rsid w:val="00614D66"/>
    <w:rsid w:val="00615520"/>
    <w:rsid w:val="006203E0"/>
    <w:rsid w:val="0062558B"/>
    <w:rsid w:val="00626C16"/>
    <w:rsid w:val="006301DB"/>
    <w:rsid w:val="00633E6D"/>
    <w:rsid w:val="006433DC"/>
    <w:rsid w:val="00651D5A"/>
    <w:rsid w:val="006537A6"/>
    <w:rsid w:val="00667546"/>
    <w:rsid w:val="006724FF"/>
    <w:rsid w:val="0068144C"/>
    <w:rsid w:val="0068205A"/>
    <w:rsid w:val="006833FD"/>
    <w:rsid w:val="00683F0D"/>
    <w:rsid w:val="0069146E"/>
    <w:rsid w:val="00693BE2"/>
    <w:rsid w:val="006B0EBD"/>
    <w:rsid w:val="006B3023"/>
    <w:rsid w:val="006B618C"/>
    <w:rsid w:val="006C0A17"/>
    <w:rsid w:val="006C6A61"/>
    <w:rsid w:val="006D318A"/>
    <w:rsid w:val="006D77D9"/>
    <w:rsid w:val="006E2E1C"/>
    <w:rsid w:val="006F0110"/>
    <w:rsid w:val="006F2A51"/>
    <w:rsid w:val="006F2E67"/>
    <w:rsid w:val="0070153B"/>
    <w:rsid w:val="00701637"/>
    <w:rsid w:val="00706723"/>
    <w:rsid w:val="0071350A"/>
    <w:rsid w:val="00723A44"/>
    <w:rsid w:val="00760498"/>
    <w:rsid w:val="0077176D"/>
    <w:rsid w:val="00777168"/>
    <w:rsid w:val="00783DDD"/>
    <w:rsid w:val="007927CE"/>
    <w:rsid w:val="0079391A"/>
    <w:rsid w:val="00793CFE"/>
    <w:rsid w:val="007A266D"/>
    <w:rsid w:val="007A399B"/>
    <w:rsid w:val="007C06F7"/>
    <w:rsid w:val="007C1BC7"/>
    <w:rsid w:val="007C565A"/>
    <w:rsid w:val="007D085C"/>
    <w:rsid w:val="007E0DCB"/>
    <w:rsid w:val="007E1360"/>
    <w:rsid w:val="007E733A"/>
    <w:rsid w:val="007F4E71"/>
    <w:rsid w:val="007F61FE"/>
    <w:rsid w:val="00811136"/>
    <w:rsid w:val="0081690F"/>
    <w:rsid w:val="008201FA"/>
    <w:rsid w:val="0082660A"/>
    <w:rsid w:val="00833F05"/>
    <w:rsid w:val="008540EA"/>
    <w:rsid w:val="00862485"/>
    <w:rsid w:val="00863CBE"/>
    <w:rsid w:val="0086596E"/>
    <w:rsid w:val="008820E1"/>
    <w:rsid w:val="00883310"/>
    <w:rsid w:val="0088750A"/>
    <w:rsid w:val="008A0C9D"/>
    <w:rsid w:val="008A7C6E"/>
    <w:rsid w:val="008C16B9"/>
    <w:rsid w:val="008C38AA"/>
    <w:rsid w:val="008C5AE4"/>
    <w:rsid w:val="008C62CF"/>
    <w:rsid w:val="008D1948"/>
    <w:rsid w:val="008E64E4"/>
    <w:rsid w:val="00901626"/>
    <w:rsid w:val="00920F4F"/>
    <w:rsid w:val="00926B65"/>
    <w:rsid w:val="0093382E"/>
    <w:rsid w:val="0093420B"/>
    <w:rsid w:val="00940A92"/>
    <w:rsid w:val="00946B79"/>
    <w:rsid w:val="00970CD7"/>
    <w:rsid w:val="00972A65"/>
    <w:rsid w:val="009849DD"/>
    <w:rsid w:val="009939C6"/>
    <w:rsid w:val="00993BEE"/>
    <w:rsid w:val="009946BA"/>
    <w:rsid w:val="00994F6F"/>
    <w:rsid w:val="009A3662"/>
    <w:rsid w:val="009B2D48"/>
    <w:rsid w:val="009B5571"/>
    <w:rsid w:val="009C4E8D"/>
    <w:rsid w:val="009D1977"/>
    <w:rsid w:val="009F7FF0"/>
    <w:rsid w:val="00A07623"/>
    <w:rsid w:val="00A16446"/>
    <w:rsid w:val="00A17A7E"/>
    <w:rsid w:val="00A17D88"/>
    <w:rsid w:val="00A3090E"/>
    <w:rsid w:val="00A33778"/>
    <w:rsid w:val="00A421D0"/>
    <w:rsid w:val="00A42B77"/>
    <w:rsid w:val="00A50CBE"/>
    <w:rsid w:val="00A531E2"/>
    <w:rsid w:val="00A56529"/>
    <w:rsid w:val="00A6111D"/>
    <w:rsid w:val="00A61F6F"/>
    <w:rsid w:val="00A65B48"/>
    <w:rsid w:val="00A73025"/>
    <w:rsid w:val="00A93F02"/>
    <w:rsid w:val="00AA2532"/>
    <w:rsid w:val="00AB53A1"/>
    <w:rsid w:val="00AC429E"/>
    <w:rsid w:val="00AC4B54"/>
    <w:rsid w:val="00AD51BC"/>
    <w:rsid w:val="00AD716F"/>
    <w:rsid w:val="00AF5797"/>
    <w:rsid w:val="00AF5AC2"/>
    <w:rsid w:val="00B045D2"/>
    <w:rsid w:val="00B10318"/>
    <w:rsid w:val="00B123E3"/>
    <w:rsid w:val="00B30404"/>
    <w:rsid w:val="00B32FAC"/>
    <w:rsid w:val="00B400FA"/>
    <w:rsid w:val="00B42752"/>
    <w:rsid w:val="00B45B89"/>
    <w:rsid w:val="00B579FB"/>
    <w:rsid w:val="00B660D9"/>
    <w:rsid w:val="00B669CD"/>
    <w:rsid w:val="00B71512"/>
    <w:rsid w:val="00B7468C"/>
    <w:rsid w:val="00B876BD"/>
    <w:rsid w:val="00BB2551"/>
    <w:rsid w:val="00BB2E4A"/>
    <w:rsid w:val="00BC02DA"/>
    <w:rsid w:val="00BC226E"/>
    <w:rsid w:val="00BC26B6"/>
    <w:rsid w:val="00BC287A"/>
    <w:rsid w:val="00BC2BF3"/>
    <w:rsid w:val="00BD3991"/>
    <w:rsid w:val="00BD5126"/>
    <w:rsid w:val="00BE1663"/>
    <w:rsid w:val="00BE2C25"/>
    <w:rsid w:val="00BE7C89"/>
    <w:rsid w:val="00BF647C"/>
    <w:rsid w:val="00C11AD3"/>
    <w:rsid w:val="00C12A2C"/>
    <w:rsid w:val="00C131C7"/>
    <w:rsid w:val="00C347BB"/>
    <w:rsid w:val="00C41102"/>
    <w:rsid w:val="00C420E3"/>
    <w:rsid w:val="00C511BD"/>
    <w:rsid w:val="00C51C9E"/>
    <w:rsid w:val="00C55301"/>
    <w:rsid w:val="00C61C17"/>
    <w:rsid w:val="00C66A97"/>
    <w:rsid w:val="00C732AD"/>
    <w:rsid w:val="00C8219B"/>
    <w:rsid w:val="00C82A70"/>
    <w:rsid w:val="00C9008A"/>
    <w:rsid w:val="00C906A1"/>
    <w:rsid w:val="00CB4645"/>
    <w:rsid w:val="00CB61D3"/>
    <w:rsid w:val="00CC57D3"/>
    <w:rsid w:val="00CE46DF"/>
    <w:rsid w:val="00CF460E"/>
    <w:rsid w:val="00CF7050"/>
    <w:rsid w:val="00D042F1"/>
    <w:rsid w:val="00D213FC"/>
    <w:rsid w:val="00D223F7"/>
    <w:rsid w:val="00D22A50"/>
    <w:rsid w:val="00D22F21"/>
    <w:rsid w:val="00D23755"/>
    <w:rsid w:val="00D23E11"/>
    <w:rsid w:val="00D33DD0"/>
    <w:rsid w:val="00D3713D"/>
    <w:rsid w:val="00D40D33"/>
    <w:rsid w:val="00D42CBA"/>
    <w:rsid w:val="00D442CF"/>
    <w:rsid w:val="00D44424"/>
    <w:rsid w:val="00D46BD1"/>
    <w:rsid w:val="00D53955"/>
    <w:rsid w:val="00D53E9E"/>
    <w:rsid w:val="00D570CE"/>
    <w:rsid w:val="00D62AD7"/>
    <w:rsid w:val="00D67148"/>
    <w:rsid w:val="00D719D0"/>
    <w:rsid w:val="00D905DB"/>
    <w:rsid w:val="00D90B5D"/>
    <w:rsid w:val="00D91A79"/>
    <w:rsid w:val="00D9560D"/>
    <w:rsid w:val="00D97678"/>
    <w:rsid w:val="00DA1275"/>
    <w:rsid w:val="00DA44F5"/>
    <w:rsid w:val="00DC13E3"/>
    <w:rsid w:val="00DC7E29"/>
    <w:rsid w:val="00DD2A5E"/>
    <w:rsid w:val="00DD65F2"/>
    <w:rsid w:val="00DE39E3"/>
    <w:rsid w:val="00DF0747"/>
    <w:rsid w:val="00DF22F5"/>
    <w:rsid w:val="00DF2F35"/>
    <w:rsid w:val="00E1320E"/>
    <w:rsid w:val="00E33956"/>
    <w:rsid w:val="00E34EF0"/>
    <w:rsid w:val="00E3528B"/>
    <w:rsid w:val="00E37556"/>
    <w:rsid w:val="00E42D87"/>
    <w:rsid w:val="00E45575"/>
    <w:rsid w:val="00E47122"/>
    <w:rsid w:val="00E547F0"/>
    <w:rsid w:val="00E604A5"/>
    <w:rsid w:val="00E6260D"/>
    <w:rsid w:val="00E711B1"/>
    <w:rsid w:val="00E73446"/>
    <w:rsid w:val="00E73E7D"/>
    <w:rsid w:val="00E76881"/>
    <w:rsid w:val="00E91BFB"/>
    <w:rsid w:val="00EA0963"/>
    <w:rsid w:val="00EB0964"/>
    <w:rsid w:val="00EB1656"/>
    <w:rsid w:val="00EC04C8"/>
    <w:rsid w:val="00EC6178"/>
    <w:rsid w:val="00EC6B70"/>
    <w:rsid w:val="00ED5BDE"/>
    <w:rsid w:val="00F006B9"/>
    <w:rsid w:val="00F13008"/>
    <w:rsid w:val="00F1496D"/>
    <w:rsid w:val="00F2496E"/>
    <w:rsid w:val="00F355C7"/>
    <w:rsid w:val="00F436AA"/>
    <w:rsid w:val="00F5489B"/>
    <w:rsid w:val="00F6416E"/>
    <w:rsid w:val="00F667ED"/>
    <w:rsid w:val="00F9009F"/>
    <w:rsid w:val="00F90845"/>
    <w:rsid w:val="00F9330E"/>
    <w:rsid w:val="00FA07B3"/>
    <w:rsid w:val="00FA3C8F"/>
    <w:rsid w:val="00FA43AC"/>
    <w:rsid w:val="00FA6748"/>
    <w:rsid w:val="00FB14AF"/>
    <w:rsid w:val="00FB62B1"/>
    <w:rsid w:val="00FB731F"/>
    <w:rsid w:val="00FD0226"/>
    <w:rsid w:val="00FD308A"/>
    <w:rsid w:val="00FD66A5"/>
    <w:rsid w:val="00FE57C3"/>
    <w:rsid w:val="00FE628A"/>
    <w:rsid w:val="00FE753E"/>
    <w:rsid w:val="00FF5E04"/>
    <w:rsid w:val="00FF6740"/>
    <w:rsid w:val="01F30330"/>
    <w:rsid w:val="01FE5971"/>
    <w:rsid w:val="02427F54"/>
    <w:rsid w:val="02714395"/>
    <w:rsid w:val="02BD2A70"/>
    <w:rsid w:val="02CC3BF2"/>
    <w:rsid w:val="02DD1A2B"/>
    <w:rsid w:val="02E35293"/>
    <w:rsid w:val="03483348"/>
    <w:rsid w:val="03CC0C05"/>
    <w:rsid w:val="040E27E3"/>
    <w:rsid w:val="04934A97"/>
    <w:rsid w:val="057228FE"/>
    <w:rsid w:val="05792019"/>
    <w:rsid w:val="058279DA"/>
    <w:rsid w:val="058D7738"/>
    <w:rsid w:val="05BB035D"/>
    <w:rsid w:val="06260797"/>
    <w:rsid w:val="07107E0D"/>
    <w:rsid w:val="07C92B50"/>
    <w:rsid w:val="07D75D82"/>
    <w:rsid w:val="07F669DC"/>
    <w:rsid w:val="082C3E90"/>
    <w:rsid w:val="09183FFC"/>
    <w:rsid w:val="09293C1C"/>
    <w:rsid w:val="09DA6CC4"/>
    <w:rsid w:val="09E85132"/>
    <w:rsid w:val="0A171C4C"/>
    <w:rsid w:val="0A365EA1"/>
    <w:rsid w:val="0B213C5F"/>
    <w:rsid w:val="0BA92DF2"/>
    <w:rsid w:val="0C22507E"/>
    <w:rsid w:val="0CD475BA"/>
    <w:rsid w:val="0D1B65EA"/>
    <w:rsid w:val="0D34281B"/>
    <w:rsid w:val="0D817B82"/>
    <w:rsid w:val="0ED604C7"/>
    <w:rsid w:val="0F7A7A09"/>
    <w:rsid w:val="0FDF5034"/>
    <w:rsid w:val="106C731A"/>
    <w:rsid w:val="113B2D40"/>
    <w:rsid w:val="1160057C"/>
    <w:rsid w:val="119B4F8B"/>
    <w:rsid w:val="12626EF1"/>
    <w:rsid w:val="12B33874"/>
    <w:rsid w:val="12FA4492"/>
    <w:rsid w:val="136450E5"/>
    <w:rsid w:val="136A730B"/>
    <w:rsid w:val="13CE7899"/>
    <w:rsid w:val="141334FE"/>
    <w:rsid w:val="14312867"/>
    <w:rsid w:val="15C3133C"/>
    <w:rsid w:val="1678022A"/>
    <w:rsid w:val="168E3162"/>
    <w:rsid w:val="16A11295"/>
    <w:rsid w:val="16B910A6"/>
    <w:rsid w:val="16D14840"/>
    <w:rsid w:val="17F32726"/>
    <w:rsid w:val="18A8725F"/>
    <w:rsid w:val="18B03A11"/>
    <w:rsid w:val="18F7519C"/>
    <w:rsid w:val="1A051B3B"/>
    <w:rsid w:val="1A9133CF"/>
    <w:rsid w:val="1AA166D6"/>
    <w:rsid w:val="1AEB31F7"/>
    <w:rsid w:val="1AFF2A2E"/>
    <w:rsid w:val="1B1262BE"/>
    <w:rsid w:val="1B226512"/>
    <w:rsid w:val="1B737A55"/>
    <w:rsid w:val="1B7F7052"/>
    <w:rsid w:val="1B934AB5"/>
    <w:rsid w:val="1BC31046"/>
    <w:rsid w:val="1D0460DA"/>
    <w:rsid w:val="1D2301F8"/>
    <w:rsid w:val="1D541B93"/>
    <w:rsid w:val="1D5A3F4C"/>
    <w:rsid w:val="1D8611E5"/>
    <w:rsid w:val="1DB44F31"/>
    <w:rsid w:val="1E78648F"/>
    <w:rsid w:val="1EBC3B3D"/>
    <w:rsid w:val="1F047DC4"/>
    <w:rsid w:val="1F270046"/>
    <w:rsid w:val="1F2779A5"/>
    <w:rsid w:val="1F470500"/>
    <w:rsid w:val="1F5617BC"/>
    <w:rsid w:val="1F611967"/>
    <w:rsid w:val="1F982448"/>
    <w:rsid w:val="206B3164"/>
    <w:rsid w:val="20913F51"/>
    <w:rsid w:val="20BF0C96"/>
    <w:rsid w:val="20CF6B85"/>
    <w:rsid w:val="21920880"/>
    <w:rsid w:val="219422DC"/>
    <w:rsid w:val="21FF14A3"/>
    <w:rsid w:val="22205764"/>
    <w:rsid w:val="22714212"/>
    <w:rsid w:val="23022C86"/>
    <w:rsid w:val="23733FB9"/>
    <w:rsid w:val="23A518B2"/>
    <w:rsid w:val="23EF5E28"/>
    <w:rsid w:val="24204E9C"/>
    <w:rsid w:val="24977834"/>
    <w:rsid w:val="25537BFE"/>
    <w:rsid w:val="26303910"/>
    <w:rsid w:val="263F0183"/>
    <w:rsid w:val="266F6CBA"/>
    <w:rsid w:val="27096DA5"/>
    <w:rsid w:val="27222275"/>
    <w:rsid w:val="275B283A"/>
    <w:rsid w:val="27702CEA"/>
    <w:rsid w:val="278E0E5A"/>
    <w:rsid w:val="27CD0233"/>
    <w:rsid w:val="283830DC"/>
    <w:rsid w:val="284E5E91"/>
    <w:rsid w:val="28AD5878"/>
    <w:rsid w:val="28C57065"/>
    <w:rsid w:val="28C770F6"/>
    <w:rsid w:val="28CD5F1A"/>
    <w:rsid w:val="28EB1F84"/>
    <w:rsid w:val="28F5606D"/>
    <w:rsid w:val="2A1100C6"/>
    <w:rsid w:val="2A407808"/>
    <w:rsid w:val="2AB71D51"/>
    <w:rsid w:val="2AC11AAE"/>
    <w:rsid w:val="2ADE7F6A"/>
    <w:rsid w:val="2B45743A"/>
    <w:rsid w:val="2C26606D"/>
    <w:rsid w:val="2C8E1915"/>
    <w:rsid w:val="2D347973"/>
    <w:rsid w:val="2E271C28"/>
    <w:rsid w:val="2E3E22B3"/>
    <w:rsid w:val="2F124686"/>
    <w:rsid w:val="2F685A57"/>
    <w:rsid w:val="2F6B1FE9"/>
    <w:rsid w:val="30594C7A"/>
    <w:rsid w:val="30C154B5"/>
    <w:rsid w:val="30E028E1"/>
    <w:rsid w:val="317C04DD"/>
    <w:rsid w:val="317E4062"/>
    <w:rsid w:val="31BE01A6"/>
    <w:rsid w:val="33953FC3"/>
    <w:rsid w:val="33F22CD8"/>
    <w:rsid w:val="35784CBC"/>
    <w:rsid w:val="35D02BA5"/>
    <w:rsid w:val="35E054DE"/>
    <w:rsid w:val="35EF1C9A"/>
    <w:rsid w:val="35F52289"/>
    <w:rsid w:val="3608731A"/>
    <w:rsid w:val="36421CF5"/>
    <w:rsid w:val="36637EBD"/>
    <w:rsid w:val="36913DF4"/>
    <w:rsid w:val="36962041"/>
    <w:rsid w:val="36C02C1A"/>
    <w:rsid w:val="36D27D8D"/>
    <w:rsid w:val="36DF1167"/>
    <w:rsid w:val="36E27034"/>
    <w:rsid w:val="38096119"/>
    <w:rsid w:val="382F1DCE"/>
    <w:rsid w:val="383E3BD1"/>
    <w:rsid w:val="38DE012E"/>
    <w:rsid w:val="39157076"/>
    <w:rsid w:val="3929719C"/>
    <w:rsid w:val="3A742699"/>
    <w:rsid w:val="3A8D6C4A"/>
    <w:rsid w:val="3ACB0D0D"/>
    <w:rsid w:val="3B170421"/>
    <w:rsid w:val="3B4B24FC"/>
    <w:rsid w:val="3BB06EA2"/>
    <w:rsid w:val="3C21415B"/>
    <w:rsid w:val="3CB7243C"/>
    <w:rsid w:val="3DDC56F4"/>
    <w:rsid w:val="3DDE45B1"/>
    <w:rsid w:val="3DFC7262"/>
    <w:rsid w:val="3E1C3502"/>
    <w:rsid w:val="3E88487C"/>
    <w:rsid w:val="3E9E4FF9"/>
    <w:rsid w:val="3EE80F60"/>
    <w:rsid w:val="3EF038F1"/>
    <w:rsid w:val="3F203ED9"/>
    <w:rsid w:val="3F6A6C05"/>
    <w:rsid w:val="3FD9166E"/>
    <w:rsid w:val="402045AD"/>
    <w:rsid w:val="403C7A85"/>
    <w:rsid w:val="41D80D76"/>
    <w:rsid w:val="41DE690D"/>
    <w:rsid w:val="4223468F"/>
    <w:rsid w:val="425F1A84"/>
    <w:rsid w:val="42E06D32"/>
    <w:rsid w:val="43002781"/>
    <w:rsid w:val="43386225"/>
    <w:rsid w:val="43394E3A"/>
    <w:rsid w:val="450F618C"/>
    <w:rsid w:val="453673AB"/>
    <w:rsid w:val="461F5BAF"/>
    <w:rsid w:val="468477C0"/>
    <w:rsid w:val="46BD7176"/>
    <w:rsid w:val="46C706EC"/>
    <w:rsid w:val="470D6864"/>
    <w:rsid w:val="472E597E"/>
    <w:rsid w:val="47B70069"/>
    <w:rsid w:val="483376F0"/>
    <w:rsid w:val="488E4C9D"/>
    <w:rsid w:val="489E65E7"/>
    <w:rsid w:val="48E704DA"/>
    <w:rsid w:val="491E3B82"/>
    <w:rsid w:val="49396F88"/>
    <w:rsid w:val="49521DF7"/>
    <w:rsid w:val="49BD45E1"/>
    <w:rsid w:val="49BE5A77"/>
    <w:rsid w:val="49C34E42"/>
    <w:rsid w:val="4A0E4826"/>
    <w:rsid w:val="4A9B19DD"/>
    <w:rsid w:val="4B744305"/>
    <w:rsid w:val="4C043151"/>
    <w:rsid w:val="4C9B3C21"/>
    <w:rsid w:val="4CE11DC3"/>
    <w:rsid w:val="4D38012C"/>
    <w:rsid w:val="4D6D6D62"/>
    <w:rsid w:val="4D7F33D7"/>
    <w:rsid w:val="4D852E94"/>
    <w:rsid w:val="4D8C33FE"/>
    <w:rsid w:val="4DCB6336"/>
    <w:rsid w:val="4DCC5629"/>
    <w:rsid w:val="4DF30558"/>
    <w:rsid w:val="4DFA2A19"/>
    <w:rsid w:val="4E12358D"/>
    <w:rsid w:val="4E192EE4"/>
    <w:rsid w:val="4E26494C"/>
    <w:rsid w:val="4EE47996"/>
    <w:rsid w:val="4EF16DED"/>
    <w:rsid w:val="4F48561C"/>
    <w:rsid w:val="4F6B3034"/>
    <w:rsid w:val="4FA7250F"/>
    <w:rsid w:val="4FC84E27"/>
    <w:rsid w:val="500707B0"/>
    <w:rsid w:val="507704E4"/>
    <w:rsid w:val="508825A3"/>
    <w:rsid w:val="509727E6"/>
    <w:rsid w:val="50B94D10"/>
    <w:rsid w:val="51023978"/>
    <w:rsid w:val="51565B12"/>
    <w:rsid w:val="5184720E"/>
    <w:rsid w:val="519503D4"/>
    <w:rsid w:val="51A84C41"/>
    <w:rsid w:val="51CD4504"/>
    <w:rsid w:val="52035925"/>
    <w:rsid w:val="524C3BDA"/>
    <w:rsid w:val="52A42D7D"/>
    <w:rsid w:val="53670B95"/>
    <w:rsid w:val="55DA1B48"/>
    <w:rsid w:val="560F4542"/>
    <w:rsid w:val="563A2B5C"/>
    <w:rsid w:val="56882F23"/>
    <w:rsid w:val="56CD1D6A"/>
    <w:rsid w:val="57266671"/>
    <w:rsid w:val="57BD6FD6"/>
    <w:rsid w:val="584B0697"/>
    <w:rsid w:val="58CC6F8B"/>
    <w:rsid w:val="5A516701"/>
    <w:rsid w:val="5B421396"/>
    <w:rsid w:val="5B5A4B95"/>
    <w:rsid w:val="5BC42CC1"/>
    <w:rsid w:val="5BC87CF7"/>
    <w:rsid w:val="5BCE2AF0"/>
    <w:rsid w:val="5CF90D64"/>
    <w:rsid w:val="5D20477F"/>
    <w:rsid w:val="5D652D23"/>
    <w:rsid w:val="5D6879E4"/>
    <w:rsid w:val="5D883BE2"/>
    <w:rsid w:val="5D8C60F9"/>
    <w:rsid w:val="5D9D62D5"/>
    <w:rsid w:val="5DA36927"/>
    <w:rsid w:val="5DC32E6C"/>
    <w:rsid w:val="5E9D7B9B"/>
    <w:rsid w:val="5EB160D1"/>
    <w:rsid w:val="5FBF1264"/>
    <w:rsid w:val="5FDB5661"/>
    <w:rsid w:val="6094062F"/>
    <w:rsid w:val="614705E1"/>
    <w:rsid w:val="61E94B7F"/>
    <w:rsid w:val="624F23FA"/>
    <w:rsid w:val="625E2039"/>
    <w:rsid w:val="629372B1"/>
    <w:rsid w:val="6295012C"/>
    <w:rsid w:val="648275DD"/>
    <w:rsid w:val="651925F1"/>
    <w:rsid w:val="655E14F4"/>
    <w:rsid w:val="657C7D98"/>
    <w:rsid w:val="65863A08"/>
    <w:rsid w:val="662B03CC"/>
    <w:rsid w:val="66772075"/>
    <w:rsid w:val="66863951"/>
    <w:rsid w:val="67591C5B"/>
    <w:rsid w:val="675C1401"/>
    <w:rsid w:val="67F80D9E"/>
    <w:rsid w:val="68293EC4"/>
    <w:rsid w:val="68716FB6"/>
    <w:rsid w:val="68956952"/>
    <w:rsid w:val="68B42C2B"/>
    <w:rsid w:val="68CB0E27"/>
    <w:rsid w:val="69074555"/>
    <w:rsid w:val="69D177F8"/>
    <w:rsid w:val="69D34437"/>
    <w:rsid w:val="6ACF1D7C"/>
    <w:rsid w:val="6ADC731B"/>
    <w:rsid w:val="6B4D1FC7"/>
    <w:rsid w:val="6C4B643E"/>
    <w:rsid w:val="6C960BD5"/>
    <w:rsid w:val="6C9A56E0"/>
    <w:rsid w:val="6D1B5B49"/>
    <w:rsid w:val="6D1C60F5"/>
    <w:rsid w:val="6D774AC9"/>
    <w:rsid w:val="6D847BA7"/>
    <w:rsid w:val="6DF4331A"/>
    <w:rsid w:val="6E2039C3"/>
    <w:rsid w:val="6E9D32B2"/>
    <w:rsid w:val="6EBD1212"/>
    <w:rsid w:val="6F9603E0"/>
    <w:rsid w:val="6FD17CFF"/>
    <w:rsid w:val="702754DC"/>
    <w:rsid w:val="70291255"/>
    <w:rsid w:val="70FF55AB"/>
    <w:rsid w:val="716B13F9"/>
    <w:rsid w:val="71A130D0"/>
    <w:rsid w:val="71B42B40"/>
    <w:rsid w:val="71CF5657"/>
    <w:rsid w:val="7238787C"/>
    <w:rsid w:val="739C1D3D"/>
    <w:rsid w:val="746C0790"/>
    <w:rsid w:val="748D503C"/>
    <w:rsid w:val="749B318A"/>
    <w:rsid w:val="74A138CF"/>
    <w:rsid w:val="74F02341"/>
    <w:rsid w:val="75671CEE"/>
    <w:rsid w:val="765D692A"/>
    <w:rsid w:val="769C2B02"/>
    <w:rsid w:val="76AD475B"/>
    <w:rsid w:val="76EE40D5"/>
    <w:rsid w:val="772B7FA1"/>
    <w:rsid w:val="775A3E3A"/>
    <w:rsid w:val="77A56C97"/>
    <w:rsid w:val="77EB5C21"/>
    <w:rsid w:val="783820E1"/>
    <w:rsid w:val="789E7942"/>
    <w:rsid w:val="78AB6682"/>
    <w:rsid w:val="791903FB"/>
    <w:rsid w:val="7988018F"/>
    <w:rsid w:val="79B31CB8"/>
    <w:rsid w:val="7A122D59"/>
    <w:rsid w:val="7A1A3ADE"/>
    <w:rsid w:val="7B7D2454"/>
    <w:rsid w:val="7B9003DA"/>
    <w:rsid w:val="7BCC7EFC"/>
    <w:rsid w:val="7C2733A5"/>
    <w:rsid w:val="7C76312F"/>
    <w:rsid w:val="7CCD7B32"/>
    <w:rsid w:val="7D2D4D93"/>
    <w:rsid w:val="7D307DB8"/>
    <w:rsid w:val="7D513331"/>
    <w:rsid w:val="7D8D7CA9"/>
    <w:rsid w:val="7DA13DC0"/>
    <w:rsid w:val="7E3B222A"/>
    <w:rsid w:val="7E904EA3"/>
    <w:rsid w:val="7ECF3FCA"/>
    <w:rsid w:val="7EE06114"/>
    <w:rsid w:val="7EFC0806"/>
    <w:rsid w:val="7FA018E5"/>
    <w:rsid w:val="7FB448BB"/>
    <w:rsid w:val="7FBE01F5"/>
    <w:rsid w:val="7FD8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4"/>
    <w:qFormat/>
    <w:uiPriority w:val="0"/>
    <w:pPr>
      <w:ind w:left="100" w:leftChars="2500"/>
    </w:pPr>
  </w:style>
  <w:style w:type="paragraph" w:styleId="4">
    <w:name w:val="Body Text Indent 2"/>
    <w:basedOn w:val="1"/>
    <w:unhideWhenUsed/>
    <w:qFormat/>
    <w:uiPriority w:val="99"/>
    <w:pPr>
      <w:spacing w:after="120" w:line="480" w:lineRule="auto"/>
      <w:ind w:left="420" w:leftChars="200"/>
    </w:pPr>
  </w:style>
  <w:style w:type="paragraph" w:styleId="5">
    <w:name w:val="Balloon Text"/>
    <w:basedOn w:val="1"/>
    <w:link w:val="15"/>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1"/>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日期 Char"/>
    <w:link w:val="3"/>
    <w:qFormat/>
    <w:uiPriority w:val="0"/>
    <w:rPr>
      <w:kern w:val="2"/>
      <w:sz w:val="21"/>
      <w:szCs w:val="24"/>
    </w:rPr>
  </w:style>
  <w:style w:type="character" w:customStyle="1" w:styleId="15">
    <w:name w:val="批注框文本 Char"/>
    <w:link w:val="5"/>
    <w:qFormat/>
    <w:uiPriority w:val="0"/>
    <w:rPr>
      <w:kern w:val="2"/>
      <w:sz w:val="18"/>
      <w:szCs w:val="18"/>
    </w:rPr>
  </w:style>
  <w:style w:type="character" w:customStyle="1" w:styleId="16">
    <w:name w:val="页脚 Char"/>
    <w:link w:val="6"/>
    <w:qFormat/>
    <w:uiPriority w:val="99"/>
    <w:rPr>
      <w:kern w:val="2"/>
      <w:sz w:val="18"/>
      <w:szCs w:val="18"/>
    </w:rPr>
  </w:style>
  <w:style w:type="character" w:customStyle="1" w:styleId="17">
    <w:name w:val="页眉 Char"/>
    <w:link w:val="7"/>
    <w:qFormat/>
    <w:uiPriority w:val="0"/>
    <w:rPr>
      <w:kern w:val="2"/>
      <w:sz w:val="18"/>
      <w:szCs w:val="18"/>
    </w:rPr>
  </w:style>
  <w:style w:type="paragraph" w:customStyle="1" w:styleId="18">
    <w:name w:val="新格式表"/>
    <w:basedOn w:val="1"/>
    <w:qFormat/>
    <w:uiPriority w:val="0"/>
    <w:pPr>
      <w:adjustRightInd w:val="0"/>
      <w:snapToGrid w:val="0"/>
      <w:spacing w:line="0" w:lineRule="atLeast"/>
      <w:jc w:val="center"/>
    </w:pPr>
    <w:rPr>
      <w:color w:val="000000"/>
      <w:kern w:val="0"/>
      <w:szCs w:val="21"/>
    </w:rPr>
  </w:style>
  <w:style w:type="paragraph" w:styleId="19">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qFormat/>
    <w:uiPriority w:val="34"/>
    <w:pPr>
      <w:ind w:firstLine="420" w:firstLineChars="200"/>
    </w:pPr>
  </w:style>
  <w:style w:type="paragraph" w:customStyle="1" w:styleId="21">
    <w:name w:val="样式2"/>
    <w:basedOn w:val="1"/>
    <w:qFormat/>
    <w:uiPriority w:val="0"/>
    <w:pPr>
      <w:tabs>
        <w:tab w:val="left" w:pos="7680"/>
      </w:tabs>
      <w:adjustRightInd w:val="0"/>
      <w:spacing w:line="360" w:lineRule="atLeast"/>
      <w:ind w:firstLine="640" w:firstLineChars="200"/>
      <w:textAlignment w:val="baseline"/>
    </w:pPr>
    <w:rPr>
      <w:rFonts w:ascii="仿宋" w:hAnsi="仿宋" w:eastAsia="仿宋_GB2312"/>
      <w:bCs/>
      <w:sz w:val="32"/>
      <w:szCs w:val="32"/>
    </w:rPr>
  </w:style>
  <w:style w:type="character" w:customStyle="1" w:styleId="22">
    <w:name w:val="fontstyle21"/>
    <w:qFormat/>
    <w:uiPriority w:val="0"/>
    <w:rPr>
      <w:rFonts w:hint="default" w:ascii="CIDFont+F1" w:hAnsi="CIDFont+F1"/>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0d97c5a7-9424-4589-b35a-9ccfcca935a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1962</Words>
  <Characters>2256</Characters>
  <Lines>16</Lines>
  <Paragraphs>4</Paragraphs>
  <TotalTime>5</TotalTime>
  <ScaleCrop>false</ScaleCrop>
  <LinksUpToDate>false</LinksUpToDate>
  <CharactersWithSpaces>2264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2017-07-14T03:44:00Z</dcterms:created>
  <dc:creator>User</dc:creator>
  <cp:lastModifiedBy>个栗</cp:lastModifiedBy>
  <cp:lastPrinted>2026-05-28T03:23:00Z</cp:lastPrinted>
  <dcterms:modified xsi:type="dcterms:W3CDTF">2026-05-28T07:59:21Z</dcterms:modified>
  <dc:title>连云港高新区技术产业开发区党工委</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25ECC43763EC4FE490B8C51305C223C0_13</vt:lpwstr>
  </property>
  <property fmtid="{D5CDD505-2E9C-101B-9397-08002B2CF9AE}" pid="4" name="KSOTemplateDocerSaveRecord">
    <vt:lpwstr>eyJoZGlkIjoiNmNkNTY1NzE0N2VhOTMyN2UxYTgzNDBlYzQ3ZDg0YTAiLCJ1c2VySWQiOiIyMTc3Njg1NzgifQ==</vt:lpwstr>
  </property>
</Properties>
</file>