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560" w:lineRule="exact"/>
        <w:jc w:val="both"/>
        <w:rPr>
          <w:color w:val="000000" w:themeColor="text1"/>
          <w14:textFill>
            <w14:solidFill>
              <w14:schemeClr w14:val="tx1"/>
            </w14:solidFill>
          </w14:textFill>
        </w:rPr>
      </w:pPr>
    </w:p>
    <w:p>
      <w:pPr>
        <w:spacing w:line="560" w:lineRule="exact"/>
        <w:jc w:val="right"/>
        <w:rPr>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连高环表复</w:t>
      </w:r>
      <w:r>
        <w:rPr>
          <w:rFonts w:eastAsia="楷体"/>
          <w:color w:val="000000" w:themeColor="text1"/>
          <w:sz w:val="30"/>
          <w:szCs w:val="30"/>
          <w14:textFill>
            <w14:solidFill>
              <w14:schemeClr w14:val="tx1"/>
            </w14:solidFill>
          </w14:textFill>
        </w:rPr>
        <w:t>〔202</w:t>
      </w:r>
      <w:r>
        <w:rPr>
          <w:rFonts w:hint="eastAsia" w:eastAsia="楷体"/>
          <w:color w:val="000000" w:themeColor="text1"/>
          <w:sz w:val="30"/>
          <w:szCs w:val="30"/>
          <w:lang w:val="en-US" w:eastAsia="zh-CN"/>
          <w14:textFill>
            <w14:solidFill>
              <w14:schemeClr w14:val="tx1"/>
            </w14:solidFill>
          </w14:textFill>
        </w:rPr>
        <w:t>5</w:t>
      </w:r>
      <w:r>
        <w:rPr>
          <w:rFonts w:eastAsia="楷体"/>
          <w:color w:val="000000" w:themeColor="text1"/>
          <w:sz w:val="30"/>
          <w:szCs w:val="30"/>
          <w14:textFill>
            <w14:solidFill>
              <w14:schemeClr w14:val="tx1"/>
            </w14:solidFill>
          </w14:textFill>
        </w:rPr>
        <w:t>〕</w:t>
      </w:r>
      <w:r>
        <w:rPr>
          <w:rFonts w:hint="eastAsia" w:eastAsia="楷体"/>
          <w:color w:val="000000" w:themeColor="text1"/>
          <w:sz w:val="30"/>
          <w:szCs w:val="30"/>
          <w:lang w:val="en-US" w:eastAsia="zh-CN"/>
          <w14:textFill>
            <w14:solidFill>
              <w14:schemeClr w14:val="tx1"/>
            </w14:solidFill>
          </w14:textFill>
        </w:rPr>
        <w:t>2</w:t>
      </w:r>
      <w:r>
        <w:rPr>
          <w:rFonts w:eastAsia="楷体"/>
          <w:color w:val="000000" w:themeColor="text1"/>
          <w:sz w:val="30"/>
          <w:szCs w:val="30"/>
          <w14:textFill>
            <w14:solidFill>
              <w14:schemeClr w14:val="tx1"/>
            </w14:solidFill>
          </w14:textFill>
        </w:rPr>
        <w:t>号</w:t>
      </w:r>
    </w:p>
    <w:p>
      <w:pPr>
        <w:spacing w:line="580" w:lineRule="exact"/>
        <w:jc w:val="center"/>
        <w:rPr>
          <w:rFonts w:eastAsia="方正小标宋简体"/>
          <w:bCs/>
          <w:color w:val="000000" w:themeColor="text1"/>
          <w:spacing w:val="-17"/>
          <w:sz w:val="44"/>
          <w:szCs w:val="44"/>
          <w14:textFill>
            <w14:solidFill>
              <w14:schemeClr w14:val="tx1"/>
            </w14:solidFill>
          </w14:textFill>
        </w:rPr>
      </w:pPr>
      <w:r>
        <w:rPr>
          <w:rFonts w:eastAsia="方正小标宋简体"/>
          <w:bCs/>
          <w:color w:val="000000" w:themeColor="text1"/>
          <w:spacing w:val="-17"/>
          <w:sz w:val="44"/>
          <w:szCs w:val="44"/>
          <w14:textFill>
            <w14:solidFill>
              <w14:schemeClr w14:val="tx1"/>
            </w14:solidFill>
          </w14:textFill>
        </w:rPr>
        <w:t>关于对</w:t>
      </w:r>
      <w:r>
        <w:rPr>
          <w:rFonts w:hint="eastAsia" w:eastAsia="方正小标宋简体"/>
          <w:bCs/>
          <w:color w:val="000000" w:themeColor="text1"/>
          <w:spacing w:val="-17"/>
          <w:sz w:val="44"/>
          <w:szCs w:val="44"/>
          <w:lang w:eastAsia="zh-CN"/>
          <w14:textFill>
            <w14:solidFill>
              <w14:schemeClr w14:val="tx1"/>
            </w14:solidFill>
          </w14:textFill>
        </w:rPr>
        <w:t>罗盖特（中国）营养食品有限公司罗盖特淀粉及多元糖醇研发中心-中试车间</w:t>
      </w:r>
      <w:r>
        <w:rPr>
          <w:rFonts w:eastAsia="方正小标宋简体"/>
          <w:bCs/>
          <w:color w:val="000000" w:themeColor="text1"/>
          <w:spacing w:val="-17"/>
          <w:sz w:val="44"/>
          <w:szCs w:val="44"/>
          <w14:textFill>
            <w14:solidFill>
              <w14:schemeClr w14:val="tx1"/>
            </w14:solidFill>
          </w14:textFill>
        </w:rPr>
        <w:t>环境影响报告表的批复</w:t>
      </w:r>
    </w:p>
    <w:p>
      <w:pPr>
        <w:adjustRightInd w:val="0"/>
        <w:spacing w:line="560" w:lineRule="exact"/>
        <w:ind w:firstLine="640" w:firstLineChars="200"/>
        <w:rPr>
          <w:rFonts w:eastAsia="仿宋_GB2312"/>
          <w:color w:val="000000" w:themeColor="text1"/>
          <w:sz w:val="32"/>
          <w:szCs w:val="32"/>
          <w14:textFill>
            <w14:solidFill>
              <w14:schemeClr w14:val="tx1"/>
            </w14:solidFill>
          </w14:textFill>
        </w:rPr>
      </w:pPr>
    </w:p>
    <w:p>
      <w:pPr>
        <w:adjustRightInd w:val="0"/>
        <w:snapToGrid w:val="0"/>
        <w:spacing w:line="560" w:lineRule="exact"/>
        <w:rPr>
          <w:rFonts w:eastAsia="仿宋_GB2312"/>
          <w:color w:val="000000" w:themeColor="text1"/>
          <w:sz w:val="32"/>
          <w:szCs w:val="32"/>
          <w14:textFill>
            <w14:solidFill>
              <w14:schemeClr w14:val="tx1"/>
            </w14:solidFill>
          </w14:textFill>
        </w:rPr>
      </w:pPr>
      <w:r>
        <w:rPr>
          <w:rFonts w:hint="eastAsia" w:eastAsia="仿宋_GB2312"/>
          <w:bCs/>
          <w:color w:val="000000" w:themeColor="text1"/>
          <w:sz w:val="32"/>
          <w:szCs w:val="32"/>
          <w:lang w:eastAsia="zh-CN"/>
          <w14:textFill>
            <w14:solidFill>
              <w14:schemeClr w14:val="tx1"/>
            </w14:solidFill>
          </w14:textFill>
        </w:rPr>
        <w:t>罗盖特（中国）营养食品有限公司</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委托</w:t>
      </w:r>
      <w:r>
        <w:rPr>
          <w:rFonts w:hint="eastAsia" w:eastAsia="仿宋_GB2312"/>
          <w:color w:val="000000" w:themeColor="text1"/>
          <w:sz w:val="32"/>
          <w:szCs w:val="32"/>
          <w:lang w:eastAsia="zh-CN"/>
          <w14:textFill>
            <w14:solidFill>
              <w14:schemeClr w14:val="tx1"/>
            </w14:solidFill>
          </w14:textFill>
        </w:rPr>
        <w:t>江苏智盛环境科技有限公司</w:t>
      </w:r>
      <w:r>
        <w:rPr>
          <w:rFonts w:eastAsia="仿宋_GB2312"/>
          <w:color w:val="000000" w:themeColor="text1"/>
          <w:sz w:val="32"/>
          <w:szCs w:val="32"/>
          <w14:textFill>
            <w14:solidFill>
              <w14:schemeClr w14:val="tx1"/>
            </w14:solidFill>
          </w14:textFill>
        </w:rPr>
        <w:t>编制的《</w:t>
      </w:r>
      <w:r>
        <w:rPr>
          <w:rFonts w:hint="eastAsia" w:eastAsia="仿宋_GB2312"/>
          <w:bCs/>
          <w:color w:val="000000" w:themeColor="text1"/>
          <w:sz w:val="32"/>
          <w:szCs w:val="32"/>
          <w:lang w:eastAsia="zh-CN"/>
          <w14:textFill>
            <w14:solidFill>
              <w14:schemeClr w14:val="tx1"/>
            </w14:solidFill>
          </w14:textFill>
        </w:rPr>
        <w:t>罗盖特淀粉及多元糖醇研发中心-中试车间</w:t>
      </w:r>
      <w:r>
        <w:rPr>
          <w:rFonts w:hint="eastAsia" w:eastAsia="仿宋_GB2312"/>
          <w:bCs/>
          <w:color w:val="000000" w:themeColor="text1"/>
          <w:sz w:val="32"/>
          <w:szCs w:val="32"/>
          <w14:textFill>
            <w14:solidFill>
              <w14:schemeClr w14:val="tx1"/>
            </w14:solidFill>
          </w14:textFill>
        </w:rPr>
        <w:t>环境影响报告表</w:t>
      </w:r>
      <w:r>
        <w:rPr>
          <w:rFonts w:eastAsia="仿宋_GB2312"/>
          <w:color w:val="000000" w:themeColor="text1"/>
          <w:sz w:val="32"/>
          <w:szCs w:val="32"/>
          <w14:textFill>
            <w14:solidFill>
              <w14:schemeClr w14:val="tx1"/>
            </w14:solidFill>
          </w14:textFill>
        </w:rPr>
        <w:t>》（以下简称《报告表》）收悉</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经研究</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批复如下：</w:t>
      </w:r>
    </w:p>
    <w:p>
      <w:pPr>
        <w:keepNext w:val="0"/>
        <w:keepLines w:val="0"/>
        <w:pageBreakBefore w:val="0"/>
        <w:numPr>
          <w:ilvl w:val="0"/>
          <w:numId w:val="1"/>
        </w:numPr>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项目位于江苏省连云港市高新技术产业开发区宋跳工业区振兴路23号</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在现有厂区内新建</w:t>
      </w:r>
      <w:r>
        <w:rPr>
          <w:rFonts w:hint="eastAsia" w:eastAsia="仿宋_GB2312"/>
          <w:color w:val="000000" w:themeColor="text1"/>
          <w:sz w:val="32"/>
          <w:szCs w:val="32"/>
          <w:lang w:val="en-US" w:eastAsia="zh-CN"/>
          <w14:textFill>
            <w14:solidFill>
              <w14:schemeClr w14:val="tx1"/>
            </w14:solidFill>
          </w14:textFill>
        </w:rPr>
        <w:t>车间，</w:t>
      </w:r>
      <w:r>
        <w:rPr>
          <w:rFonts w:hint="eastAsia" w:eastAsia="仿宋_GB2312"/>
          <w:color w:val="000000" w:themeColor="text1"/>
          <w:sz w:val="32"/>
          <w:szCs w:val="32"/>
          <w14:textFill>
            <w14:solidFill>
              <w14:schemeClr w14:val="tx1"/>
            </w14:solidFill>
          </w14:textFill>
        </w:rPr>
        <w:t>建筑面积约1200平方米</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包括糖醇中试样品生产区、淀粉中试样品生产区、理化分析区及小试生产间等</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并配置相应设备</w:t>
      </w:r>
      <w:r>
        <w:rPr>
          <w:rFonts w:hint="eastAsia" w:eastAsia="仿宋_GB2312"/>
          <w:color w:val="000000" w:themeColor="text1"/>
          <w:sz w:val="32"/>
          <w:szCs w:val="32"/>
          <w:lang w:eastAsia="zh-CN"/>
          <w14:textFill>
            <w14:solidFill>
              <w14:schemeClr w14:val="tx1"/>
            </w14:solidFill>
          </w14:textFill>
        </w:rPr>
        <w:t>，项目投产后，产能为：</w:t>
      </w:r>
      <w:r>
        <w:rPr>
          <w:rFonts w:hint="eastAsia" w:eastAsia="仿宋_GB2312"/>
          <w:color w:val="000000" w:themeColor="text1"/>
          <w:sz w:val="32"/>
          <w:szCs w:val="32"/>
          <w14:textFill>
            <w14:solidFill>
              <w14:schemeClr w14:val="tx1"/>
            </w14:solidFill>
          </w14:textFill>
        </w:rPr>
        <w:t>变性淀粉4t/a、糖醇1.2t/a、麦芽糊精0.6t/a。</w:t>
      </w:r>
      <w:r>
        <w:rPr>
          <w:rFonts w:hint="eastAsia" w:eastAsia="仿宋_GB2312"/>
          <w:color w:val="000000" w:themeColor="text1"/>
          <w:sz w:val="32"/>
          <w:szCs w:val="32"/>
          <w:lang w:val="en-US" w:eastAsia="zh-CN"/>
          <w14:textFill>
            <w14:solidFill>
              <w14:schemeClr w14:val="tx1"/>
            </w14:solidFill>
          </w14:textFill>
        </w:rPr>
        <w:t>总投资1200万元，其中环保投资10万元。</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w:t>
      </w:r>
      <w:r>
        <w:rPr>
          <w:rFonts w:hint="eastAsia" w:eastAsia="仿宋_GB2312"/>
          <w:color w:val="000000" w:themeColor="text1"/>
          <w:sz w:val="32"/>
          <w:szCs w:val="32"/>
          <w14:textFill>
            <w14:solidFill>
              <w14:schemeClr w14:val="tx1"/>
            </w14:solidFill>
          </w14:textFill>
        </w:rPr>
        <w:t>根据《报告表》的论述及评价结论</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在</w:t>
      </w:r>
      <w:r>
        <w:rPr>
          <w:rFonts w:eastAsia="仿宋_GB2312"/>
          <w:color w:val="000000" w:themeColor="text1"/>
          <w:sz w:val="32"/>
          <w:szCs w:val="32"/>
          <w14:textFill>
            <w14:solidFill>
              <w14:schemeClr w14:val="tx1"/>
            </w14:solidFill>
          </w14:textFill>
        </w:rPr>
        <w:t>落实《报告表》中提出的各项污染防治、生态</w:t>
      </w:r>
      <w:r>
        <w:rPr>
          <w:rFonts w:hint="eastAsia" w:eastAsia="仿宋_GB2312"/>
          <w:color w:val="000000" w:themeColor="text1"/>
          <w:sz w:val="32"/>
          <w:szCs w:val="32"/>
          <w14:textFill>
            <w14:solidFill>
              <w14:schemeClr w14:val="tx1"/>
            </w14:solidFill>
          </w14:textFill>
        </w:rPr>
        <w:t>环境保护</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风险防范等措施</w:t>
      </w:r>
      <w:r>
        <w:rPr>
          <w:rFonts w:eastAsia="仿宋_GB2312"/>
          <w:color w:val="000000" w:themeColor="text1"/>
          <w:sz w:val="32"/>
          <w:szCs w:val="32"/>
          <w14:textFill>
            <w14:solidFill>
              <w14:schemeClr w14:val="tx1"/>
            </w14:solidFill>
          </w14:textFill>
        </w:rPr>
        <w:t>的前提下</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从</w:t>
      </w:r>
      <w:r>
        <w:rPr>
          <w:rFonts w:hint="eastAsia" w:eastAsia="仿宋_GB2312"/>
          <w:color w:val="000000" w:themeColor="text1"/>
          <w:sz w:val="32"/>
          <w:szCs w:val="32"/>
          <w14:textFill>
            <w14:solidFill>
              <w14:schemeClr w14:val="tx1"/>
            </w14:solidFill>
          </w14:textFill>
        </w:rPr>
        <w:t>生态环境</w:t>
      </w:r>
      <w:r>
        <w:rPr>
          <w:rFonts w:eastAsia="仿宋_GB2312"/>
          <w:color w:val="000000" w:themeColor="text1"/>
          <w:sz w:val="32"/>
          <w:szCs w:val="32"/>
          <w14:textFill>
            <w14:solidFill>
              <w14:schemeClr w14:val="tx1"/>
            </w14:solidFill>
          </w14:textFill>
        </w:rPr>
        <w:t>角度考虑</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同意你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按《报告表》所述内容进行建设。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三、在项目工程设计、建设和环境管理中</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须</w:t>
      </w:r>
      <w:r>
        <w:rPr>
          <w:rFonts w:hint="eastAsia" w:eastAsia="仿宋_GB2312"/>
          <w:color w:val="000000" w:themeColor="text1"/>
          <w:sz w:val="32"/>
          <w:szCs w:val="32"/>
          <w14:textFill>
            <w14:solidFill>
              <w14:schemeClr w14:val="tx1"/>
            </w14:solidFill>
          </w14:textFill>
        </w:rPr>
        <w:t>全过程贯彻清洁生产理念</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落实《报告表》中提出的</w:t>
      </w:r>
      <w:r>
        <w:rPr>
          <w:rFonts w:hint="eastAsia" w:eastAsia="仿宋_GB2312"/>
          <w:color w:val="000000" w:themeColor="text1"/>
          <w:sz w:val="32"/>
          <w:szCs w:val="32"/>
          <w14:textFill>
            <w14:solidFill>
              <w14:schemeClr w14:val="tx1"/>
            </w14:solidFill>
          </w14:textFill>
        </w:rPr>
        <w:t>各项污染防治措施要求</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严格执行环保“三同时”制度</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确保各类污染物稳定达标排放</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在项目建设及运营期间重点</w:t>
      </w:r>
      <w:r>
        <w:rPr>
          <w:rFonts w:eastAsia="仿宋_GB2312"/>
          <w:color w:val="000000" w:themeColor="text1"/>
          <w:sz w:val="32"/>
          <w:szCs w:val="32"/>
          <w14:textFill>
            <w14:solidFill>
              <w14:schemeClr w14:val="tx1"/>
            </w14:solidFill>
          </w14:textFill>
        </w:rPr>
        <w:t>落实以下</w:t>
      </w:r>
      <w:r>
        <w:rPr>
          <w:rFonts w:hint="eastAsia" w:eastAsia="仿宋_GB2312"/>
          <w:color w:val="000000" w:themeColor="text1"/>
          <w:sz w:val="32"/>
          <w:szCs w:val="32"/>
          <w14:textFill>
            <w14:solidFill>
              <w14:schemeClr w14:val="tx1"/>
            </w14:solidFill>
          </w14:textFill>
        </w:rPr>
        <w:t>要求</w:t>
      </w:r>
      <w:r>
        <w:rPr>
          <w:rFonts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运营期：</w:t>
      </w:r>
      <w:r>
        <w:rPr>
          <w:rFonts w:hint="eastAsia" w:eastAsia="仿宋_GB2312"/>
          <w:color w:val="000000" w:themeColor="text1"/>
          <w:sz w:val="32"/>
          <w:szCs w:val="32"/>
          <w:lang w:eastAsia="zh-CN"/>
          <w14:textFill>
            <w14:solidFill>
              <w14:schemeClr w14:val="tx1"/>
            </w14:solidFill>
          </w14:textFill>
        </w:rPr>
        <w:t>（一）严格落实各项水污染防治措施。本项目废水包括变性淀粉高盐废水、变性淀粉常规工艺废水、设备冲洗水、河水净化系统外排水及地面冲洗水、废气吸收水。高盐废水</w:t>
      </w:r>
      <w:r>
        <w:rPr>
          <w:rFonts w:hint="eastAsia" w:eastAsia="仿宋_GB2312"/>
          <w:color w:val="000000" w:themeColor="text1"/>
          <w:sz w:val="32"/>
          <w:szCs w:val="32"/>
          <w:lang w:val="en-US" w:eastAsia="zh-CN"/>
          <w14:textFill>
            <w14:solidFill>
              <w14:schemeClr w14:val="tx1"/>
            </w14:solidFill>
          </w14:textFill>
        </w:rPr>
        <w:t>依托厂区现有</w:t>
      </w:r>
      <w:r>
        <w:rPr>
          <w:rFonts w:hint="eastAsia" w:eastAsia="仿宋_GB2312"/>
          <w:color w:val="000000" w:themeColor="text1"/>
          <w:sz w:val="32"/>
          <w:szCs w:val="32"/>
          <w:lang w:eastAsia="zh-CN"/>
          <w14:textFill>
            <w14:solidFill>
              <w14:schemeClr w14:val="tx1"/>
            </w14:solidFill>
          </w14:textFill>
        </w:rPr>
        <w:t>高盐废水处理线</w:t>
      </w: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经过“调节+生物选择+好氧曝气+MBR+离子交换+二级纳滤+臭氧降解”处理后回用于生产。变性淀粉常规工艺废水、设备冲洗水、河水净化系统外排水及地面冲洗水、废气吸收水</w:t>
      </w:r>
      <w:r>
        <w:rPr>
          <w:rFonts w:hint="eastAsia" w:eastAsia="仿宋_GB2312"/>
          <w:color w:val="000000" w:themeColor="text1"/>
          <w:sz w:val="32"/>
          <w:szCs w:val="32"/>
          <w:lang w:val="en-US" w:eastAsia="zh-CN"/>
          <w14:textFill>
            <w14:solidFill>
              <w14:schemeClr w14:val="tx1"/>
            </w14:solidFill>
          </w14:textFill>
        </w:rPr>
        <w:t>依托厂区现有</w:t>
      </w:r>
      <w:r>
        <w:rPr>
          <w:rFonts w:hint="eastAsia" w:eastAsia="仿宋_GB2312"/>
          <w:color w:val="000000" w:themeColor="text1"/>
          <w:sz w:val="32"/>
          <w:szCs w:val="32"/>
          <w:lang w:eastAsia="zh-CN"/>
          <w14:textFill>
            <w14:solidFill>
              <w14:schemeClr w14:val="tx1"/>
            </w14:solidFill>
          </w14:textFill>
        </w:rPr>
        <w:t>常规废水处理线，</w:t>
      </w:r>
      <w:r>
        <w:rPr>
          <w:rFonts w:hint="eastAsia" w:eastAsia="仿宋_GB2312"/>
          <w:color w:val="000000" w:themeColor="text1"/>
          <w:sz w:val="32"/>
          <w:szCs w:val="32"/>
          <w:lang w:val="en-US" w:eastAsia="zh-CN"/>
          <w14:textFill>
            <w14:solidFill>
              <w14:schemeClr w14:val="tx1"/>
            </w14:solidFill>
          </w14:textFill>
        </w:rPr>
        <w:t>经过“</w:t>
      </w:r>
      <w:r>
        <w:rPr>
          <w:rFonts w:hint="eastAsia" w:eastAsia="仿宋_GB2312"/>
          <w:color w:val="000000" w:themeColor="text1"/>
          <w:sz w:val="32"/>
          <w:szCs w:val="32"/>
          <w:lang w:eastAsia="zh-CN"/>
          <w14:textFill>
            <w14:solidFill>
              <w14:schemeClr w14:val="tx1"/>
            </w14:solidFill>
          </w14:textFill>
        </w:rPr>
        <w:t>调节</w:t>
      </w: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混匀</w:t>
      </w: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预曝气</w:t>
      </w: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厌氧</w:t>
      </w: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好氧</w:t>
      </w: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气浮除磷”</w:t>
      </w:r>
      <w:r>
        <w:rPr>
          <w:rFonts w:hint="eastAsia" w:eastAsia="仿宋_GB2312"/>
          <w:color w:val="000000" w:themeColor="text1"/>
          <w:sz w:val="32"/>
          <w:szCs w:val="32"/>
          <w:lang w:val="en-US" w:eastAsia="zh-CN"/>
          <w14:textFill>
            <w14:solidFill>
              <w14:schemeClr w14:val="tx1"/>
            </w14:solidFill>
          </w14:textFill>
        </w:rPr>
        <w:t>处理后同蒸汽冷凝水一起接管进恒隆水务大浦工业区污水处理厂集中处理。</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（二）</w:t>
      </w:r>
      <w:r>
        <w:rPr>
          <w:rFonts w:hint="eastAsia" w:eastAsia="仿宋_GB2312"/>
          <w:color w:val="000000" w:themeColor="text1"/>
          <w:sz w:val="32"/>
          <w:szCs w:val="32"/>
          <w:highlight w:val="none"/>
          <w:lang w:eastAsia="zh-CN"/>
          <w14:textFill>
            <w14:solidFill>
              <w14:schemeClr w14:val="tx1"/>
            </w14:solidFill>
          </w14:textFill>
        </w:rPr>
        <w:t>严格落实大气污染防治措施，确保各类废气达标排放。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default"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本项目中试产生过氧乙酸、二氧化硫、环氧丙烷、氯化氢、醋酸、硫酸雾废气</w:t>
      </w:r>
      <w:r>
        <w:rPr>
          <w:rFonts w:hint="eastAsia" w:eastAsia="仿宋_GB2312"/>
          <w:color w:val="000000" w:themeColor="text1"/>
          <w:sz w:val="32"/>
          <w:szCs w:val="32"/>
          <w:highlight w:val="none"/>
          <w:lang w:val="en-US" w:eastAsia="zh-CN"/>
          <w14:textFill>
            <w14:solidFill>
              <w14:schemeClr w14:val="tx1"/>
            </w14:solidFill>
          </w14:textFill>
        </w:rPr>
        <w:t>污染物</w:t>
      </w:r>
      <w:r>
        <w:rPr>
          <w:rFonts w:hint="eastAsia" w:eastAsia="仿宋_GB2312"/>
          <w:color w:val="000000" w:themeColor="text1"/>
          <w:sz w:val="32"/>
          <w:szCs w:val="32"/>
          <w:highlight w:val="none"/>
          <w:lang w:eastAsia="zh-CN"/>
          <w14:textFill>
            <w14:solidFill>
              <w14:schemeClr w14:val="tx1"/>
            </w14:solidFill>
          </w14:textFill>
        </w:rPr>
        <w:t>。经“一级酸吸收+一级碱吸收”处理后</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lang w:eastAsia="zh-CN"/>
          <w14:textFill>
            <w14:solidFill>
              <w14:schemeClr w14:val="tx1"/>
            </w14:solidFill>
          </w14:textFill>
        </w:rPr>
        <w:t>《大气污染物综合排放标准》（DB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hint="eastAsia" w:eastAsia="仿宋_GB2312"/>
          <w:color w:val="000000" w:themeColor="text1"/>
          <w:sz w:val="32"/>
          <w:szCs w:val="32"/>
          <w:highlight w:val="none"/>
          <w:lang w:eastAsia="zh-CN"/>
          <w14:textFill>
            <w14:solidFill>
              <w14:schemeClr w14:val="tx1"/>
            </w14:solidFill>
          </w14:textFill>
        </w:rPr>
        <w:t>32/4041-2021）表1标准</w:t>
      </w:r>
      <w:r>
        <w:rPr>
          <w:rFonts w:hint="eastAsia" w:eastAsia="仿宋_GB2312"/>
          <w:color w:val="000000" w:themeColor="text1"/>
          <w:sz w:val="32"/>
          <w:szCs w:val="32"/>
          <w:highlight w:val="none"/>
          <w:lang w:val="en-US" w:eastAsia="zh-CN"/>
          <w14:textFill>
            <w14:solidFill>
              <w14:schemeClr w14:val="tx1"/>
            </w14:solidFill>
          </w14:textFill>
        </w:rPr>
        <w:t>要求后，</w:t>
      </w:r>
      <w:r>
        <w:rPr>
          <w:rFonts w:hint="eastAsia" w:eastAsia="仿宋_GB2312"/>
          <w:color w:val="000000" w:themeColor="text1"/>
          <w:sz w:val="32"/>
          <w:szCs w:val="32"/>
          <w:highlight w:val="none"/>
          <w:lang w:eastAsia="zh-CN"/>
          <w14:textFill>
            <w14:solidFill>
              <w14:schemeClr w14:val="tx1"/>
            </w14:solidFill>
          </w14:textFill>
        </w:rPr>
        <w:t>通过</w:t>
      </w:r>
      <w:r>
        <w:rPr>
          <w:rFonts w:hint="eastAsia" w:eastAsia="仿宋_GB2312"/>
          <w:color w:val="000000" w:themeColor="text1"/>
          <w:sz w:val="32"/>
          <w:szCs w:val="32"/>
          <w:highlight w:val="none"/>
          <w:lang w:val="en-US" w:eastAsia="zh-CN"/>
          <w14:textFill>
            <w14:solidFill>
              <w14:schemeClr w14:val="tx1"/>
            </w14:solidFill>
          </w14:textFill>
        </w:rPr>
        <w:t>11</w:t>
      </w:r>
      <w:r>
        <w:rPr>
          <w:rFonts w:hint="eastAsia" w:eastAsia="仿宋_GB2312"/>
          <w:color w:val="000000" w:themeColor="text1"/>
          <w:sz w:val="32"/>
          <w:szCs w:val="32"/>
          <w:highlight w:val="none"/>
          <w:lang w:eastAsia="zh-CN"/>
          <w14:textFill>
            <w14:solidFill>
              <w14:schemeClr w14:val="tx1"/>
            </w14:solidFill>
          </w14:textFill>
        </w:rPr>
        <w:t>m高排气筒（DA0</w:t>
      </w:r>
      <w:r>
        <w:rPr>
          <w:rFonts w:hint="eastAsia" w:eastAsia="仿宋_GB2312"/>
          <w:color w:val="000000" w:themeColor="text1"/>
          <w:sz w:val="32"/>
          <w:szCs w:val="32"/>
          <w:highlight w:val="none"/>
          <w:lang w:val="en-US" w:eastAsia="zh-CN"/>
          <w14:textFill>
            <w14:solidFill>
              <w14:schemeClr w14:val="tx1"/>
            </w14:solidFill>
          </w14:textFill>
        </w:rPr>
        <w:t>25</w:t>
      </w:r>
      <w:r>
        <w:rPr>
          <w:rFonts w:hint="eastAsia" w:eastAsia="仿宋_GB2312"/>
          <w:color w:val="000000" w:themeColor="text1"/>
          <w:sz w:val="32"/>
          <w:szCs w:val="32"/>
          <w:highlight w:val="none"/>
          <w:lang w:eastAsia="zh-CN"/>
          <w14:textFill>
            <w14:solidFill>
              <w14:schemeClr w14:val="tx1"/>
            </w14:solidFill>
          </w14:textFill>
        </w:rPr>
        <w:t>）排放</w:t>
      </w:r>
      <w:r>
        <w:rPr>
          <w:rFonts w:hint="eastAsia" w:eastAsia="仿宋_GB2312"/>
          <w:color w:val="000000" w:themeColor="text1"/>
          <w:sz w:val="32"/>
          <w:szCs w:val="32"/>
          <w:highlight w:val="none"/>
          <w:lang w:val="en-US" w:eastAsia="zh-CN"/>
          <w14:textFill>
            <w14:solidFill>
              <w14:schemeClr w14:val="tx1"/>
            </w14:solidFill>
          </w14:textFill>
        </w:rPr>
        <w:t>，其中最高允许排放速率按表1所列排放速率限值的50%执行。</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项目无组织废气主要为变性淀粉、麦芽糊精和糖醇生产时产生的粉尘，通过布袋除尘处理后车间</w:t>
      </w:r>
      <w:r>
        <w:rPr>
          <w:rFonts w:hint="eastAsia" w:eastAsia="仿宋_GB2312"/>
          <w:color w:val="000000" w:themeColor="text1"/>
          <w:sz w:val="32"/>
          <w:szCs w:val="32"/>
          <w:highlight w:val="none"/>
          <w:lang w:val="en-US" w:eastAsia="zh-CN"/>
          <w14:textFill>
            <w14:solidFill>
              <w14:schemeClr w14:val="tx1"/>
            </w14:solidFill>
          </w14:textFill>
        </w:rPr>
        <w:t>内</w:t>
      </w:r>
      <w:r>
        <w:rPr>
          <w:rFonts w:hint="eastAsia" w:eastAsia="仿宋_GB2312"/>
          <w:color w:val="000000" w:themeColor="text1"/>
          <w:sz w:val="32"/>
          <w:szCs w:val="32"/>
          <w:highlight w:val="none"/>
          <w:lang w:eastAsia="zh-CN"/>
          <w14:textFill>
            <w14:solidFill>
              <w14:schemeClr w14:val="tx1"/>
            </w14:solidFill>
          </w14:textFill>
        </w:rPr>
        <w:t>无组织排放。</w:t>
      </w:r>
      <w:r>
        <w:rPr>
          <w:rFonts w:hint="eastAsia" w:eastAsia="仿宋_GB2312"/>
          <w:color w:val="000000" w:themeColor="text1"/>
          <w:sz w:val="32"/>
          <w:szCs w:val="32"/>
          <w:highlight w:val="none"/>
          <w14:textFill>
            <w14:solidFill>
              <w14:schemeClr w14:val="tx1"/>
            </w14:solidFill>
          </w14:textFill>
        </w:rPr>
        <w:t>无组织</w:t>
      </w:r>
      <w:r>
        <w:rPr>
          <w:rFonts w:hint="eastAsia" w:eastAsia="仿宋_GB2312"/>
          <w:color w:val="000000" w:themeColor="text1"/>
          <w:sz w:val="32"/>
          <w:szCs w:val="32"/>
          <w:highlight w:val="none"/>
          <w:lang w:val="en-US" w:eastAsia="zh-CN"/>
          <w14:textFill>
            <w14:solidFill>
              <w14:schemeClr w14:val="tx1"/>
            </w14:solidFill>
          </w14:textFill>
        </w:rPr>
        <w:t>废气排放</w:t>
      </w:r>
      <w:r>
        <w:rPr>
          <w:rFonts w:hint="eastAsia" w:eastAsia="仿宋_GB2312"/>
          <w:color w:val="000000" w:themeColor="text1"/>
          <w:sz w:val="32"/>
          <w:szCs w:val="32"/>
          <w:highlight w:val="none"/>
          <w14:textFill>
            <w14:solidFill>
              <w14:schemeClr w14:val="tx1"/>
            </w14:solidFill>
          </w14:textFill>
        </w:rPr>
        <w:t>浓度</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14:textFill>
            <w14:solidFill>
              <w14:schemeClr w14:val="tx1"/>
            </w14:solidFill>
          </w14:textFill>
        </w:rPr>
        <w:t>《大气污染物综合排放标准》（DB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hint="eastAsia" w:eastAsia="仿宋_GB2312"/>
          <w:color w:val="000000" w:themeColor="text1"/>
          <w:sz w:val="32"/>
          <w:szCs w:val="32"/>
          <w:highlight w:val="none"/>
          <w14:textFill>
            <w14:solidFill>
              <w14:schemeClr w14:val="tx1"/>
            </w14:solidFill>
          </w14:textFill>
        </w:rPr>
        <w:t>32/4041-2021）表3</w:t>
      </w:r>
      <w:r>
        <w:rPr>
          <w:rFonts w:hint="eastAsia" w:eastAsia="仿宋_GB2312"/>
          <w:color w:val="000000" w:themeColor="text1"/>
          <w:sz w:val="32"/>
          <w:szCs w:val="32"/>
          <w:highlight w:val="none"/>
          <w:lang w:val="en-US" w:eastAsia="zh-CN"/>
          <w14:textFill>
            <w14:solidFill>
              <w14:schemeClr w14:val="tx1"/>
            </w14:solidFill>
          </w14:textFill>
        </w:rPr>
        <w:t>标准要求。</w:t>
      </w:r>
      <w:r>
        <w:rPr>
          <w:rFonts w:hint="eastAsia" w:eastAsia="仿宋_GB2312"/>
          <w:color w:val="000000" w:themeColor="text1"/>
          <w:sz w:val="32"/>
          <w:szCs w:val="32"/>
          <w:highlight w:val="none"/>
          <w14:textFill>
            <w14:solidFill>
              <w14:schemeClr w14:val="tx1"/>
            </w14:solidFill>
          </w14:textFill>
        </w:rPr>
        <w:t>厂区内非甲烷总烃无组织排放</w:t>
      </w:r>
      <w:r>
        <w:rPr>
          <w:rFonts w:hint="eastAsia" w:eastAsia="仿宋_GB2312"/>
          <w:color w:val="000000" w:themeColor="text1"/>
          <w:sz w:val="32"/>
          <w:szCs w:val="32"/>
          <w:highlight w:val="none"/>
          <w:lang w:val="en-US" w:eastAsia="zh-CN"/>
          <w14:textFill>
            <w14:solidFill>
              <w14:schemeClr w14:val="tx1"/>
            </w14:solidFill>
          </w14:textFill>
        </w:rPr>
        <w:t>浓度应满足</w:t>
      </w:r>
      <w:r>
        <w:rPr>
          <w:rFonts w:hint="eastAsia"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挥发性有机物无组织排放控制标准</w:t>
      </w:r>
      <w:r>
        <w:rPr>
          <w:rFonts w:hint="eastAsia" w:eastAsia="仿宋_GB2312"/>
          <w:color w:val="000000" w:themeColor="text1"/>
          <w:sz w:val="32"/>
          <w:szCs w:val="32"/>
          <w:highlight w:val="none"/>
          <w14:textFill>
            <w14:solidFill>
              <w14:schemeClr w14:val="tx1"/>
            </w14:solidFill>
          </w14:textFill>
        </w:rPr>
        <w:t>》 （</w:t>
      </w:r>
      <w:r>
        <w:rPr>
          <w:rFonts w:hint="eastAsia" w:eastAsia="仿宋_GB2312"/>
          <w:color w:val="000000" w:themeColor="text1"/>
          <w:sz w:val="32"/>
          <w:szCs w:val="32"/>
          <w:highlight w:val="none"/>
          <w:lang w:val="en-US" w:eastAsia="zh-CN"/>
          <w14:textFill>
            <w14:solidFill>
              <w14:schemeClr w14:val="tx1"/>
            </w14:solidFill>
          </w14:textFill>
        </w:rPr>
        <w:t>GB 37822-2019</w:t>
      </w:r>
      <w:r>
        <w:rPr>
          <w:rFonts w:hint="eastAsia"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标准要求</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（三）</w:t>
      </w:r>
      <w:r>
        <w:rPr>
          <w:rFonts w:hint="eastAsia" w:eastAsia="仿宋_GB2312"/>
          <w:color w:val="000000" w:themeColor="text1"/>
          <w:sz w:val="32"/>
          <w:szCs w:val="32"/>
          <w:highlight w:val="none"/>
          <w:lang w:eastAsia="zh-CN"/>
          <w14:textFill>
            <w14:solidFill>
              <w14:schemeClr w14:val="tx1"/>
            </w14:solidFill>
          </w14:textFill>
        </w:rPr>
        <w:t>严格落实</w:t>
      </w:r>
      <w:r>
        <w:rPr>
          <w:rFonts w:hint="eastAsia" w:eastAsia="仿宋_GB2312"/>
          <w:color w:val="000000" w:themeColor="text1"/>
          <w:sz w:val="32"/>
          <w:szCs w:val="32"/>
          <w:highlight w:val="none"/>
          <w:lang w:val="en-US" w:eastAsia="zh-CN"/>
          <w14:textFill>
            <w14:solidFill>
              <w14:schemeClr w14:val="tx1"/>
            </w14:solidFill>
          </w14:textFill>
        </w:rPr>
        <w:t>报告提出的隔声罩</w:t>
      </w:r>
      <w:r>
        <w:rPr>
          <w:rFonts w:hint="eastAsia" w:eastAsia="仿宋_GB2312"/>
          <w:color w:val="000000" w:themeColor="text1"/>
          <w:sz w:val="32"/>
          <w:szCs w:val="32"/>
          <w:highlight w:val="none"/>
          <w:lang w:eastAsia="zh-CN"/>
          <w14:textFill>
            <w14:solidFill>
              <w14:schemeClr w14:val="tx1"/>
            </w14:solidFill>
          </w14:textFill>
        </w:rPr>
        <w:t>、减振等源头降噪措施，辅以厂房隔声、距离衰减、加强管理等措施。厂界噪声</w:t>
      </w:r>
      <w:r>
        <w:rPr>
          <w:rFonts w:hint="eastAsia" w:eastAsia="仿宋_GB2312"/>
          <w:color w:val="000000" w:themeColor="text1"/>
          <w:sz w:val="32"/>
          <w:szCs w:val="32"/>
          <w:highlight w:val="none"/>
          <w:lang w:val="en-US" w:eastAsia="zh-CN"/>
          <w14:textFill>
            <w14:solidFill>
              <w14:schemeClr w14:val="tx1"/>
            </w14:solidFill>
          </w14:textFill>
        </w:rPr>
        <w:t>应</w:t>
      </w:r>
      <w:r>
        <w:rPr>
          <w:rFonts w:hint="eastAsia" w:eastAsia="仿宋_GB2312"/>
          <w:color w:val="000000" w:themeColor="text1"/>
          <w:sz w:val="32"/>
          <w:szCs w:val="32"/>
          <w:highlight w:val="none"/>
          <w:lang w:eastAsia="zh-CN"/>
          <w14:textFill>
            <w14:solidFill>
              <w14:schemeClr w14:val="tx1"/>
            </w14:solidFill>
          </w14:textFill>
        </w:rPr>
        <w:t>满足《工业企业厂界环境噪声排放标准》（GB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hint="eastAsia" w:eastAsia="仿宋_GB2312"/>
          <w:color w:val="000000" w:themeColor="text1"/>
          <w:sz w:val="32"/>
          <w:szCs w:val="32"/>
          <w:highlight w:val="none"/>
          <w:lang w:eastAsia="zh-CN"/>
          <w14:textFill>
            <w14:solidFill>
              <w14:schemeClr w14:val="tx1"/>
            </w14:solidFill>
          </w14:textFill>
        </w:rPr>
        <w:t>12348-2008）3类标准要求</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（四）</w:t>
      </w:r>
      <w:r>
        <w:rPr>
          <w:rFonts w:hint="eastAsia" w:eastAsia="仿宋_GB2312"/>
          <w:color w:val="000000" w:themeColor="text1"/>
          <w:sz w:val="32"/>
          <w:szCs w:val="32"/>
          <w:highlight w:val="none"/>
          <w:lang w:eastAsia="zh-CN"/>
          <w14:textFill>
            <w14:solidFill>
              <w14:schemeClr w14:val="tx1"/>
            </w14:solidFill>
          </w14:textFill>
        </w:rPr>
        <w:t>严格落实固体废物污染防治措施。按“资源化、减量化、无害化”的处置原则，落实固体废物的收集、贮存和处置措施。</w:t>
      </w:r>
      <w:r>
        <w:rPr>
          <w:rFonts w:hint="eastAsia" w:eastAsia="仿宋_GB2312"/>
          <w:color w:val="000000" w:themeColor="text1"/>
          <w:sz w:val="32"/>
          <w:szCs w:val="32"/>
          <w:highlight w:val="none"/>
          <w:lang w:val="en-US" w:eastAsia="zh-CN"/>
          <w14:textFill>
            <w14:solidFill>
              <w14:schemeClr w14:val="tx1"/>
            </w14:solidFill>
          </w14:textFill>
        </w:rPr>
        <w:t>其中废RO膜、废陶瓷膜、</w:t>
      </w:r>
      <w:r>
        <w:rPr>
          <w:rFonts w:hint="eastAsia" w:eastAsia="仿宋_GB2312"/>
          <w:color w:val="000000" w:themeColor="text1"/>
          <w:sz w:val="32"/>
          <w:szCs w:val="32"/>
          <w:highlight w:val="none"/>
          <w:lang w:eastAsia="zh-CN"/>
          <w14:textFill>
            <w14:solidFill>
              <w14:schemeClr w14:val="tx1"/>
            </w14:solidFill>
          </w14:textFill>
        </w:rPr>
        <w:t>废树脂、废布袋</w:t>
      </w:r>
      <w:r>
        <w:rPr>
          <w:rFonts w:hint="eastAsia" w:eastAsia="仿宋"/>
          <w:bCs/>
          <w:sz w:val="30"/>
          <w:szCs w:val="30"/>
        </w:rPr>
        <w:t>一般固体废物</w:t>
      </w:r>
      <w:r>
        <w:rPr>
          <w:rFonts w:hint="eastAsia" w:eastAsia="仿宋"/>
          <w:bCs/>
          <w:sz w:val="30"/>
          <w:szCs w:val="30"/>
          <w:lang w:eastAsia="zh-CN"/>
        </w:rPr>
        <w:t>，</w:t>
      </w:r>
      <w:r>
        <w:rPr>
          <w:rFonts w:hint="eastAsia" w:eastAsia="仿宋"/>
          <w:bCs/>
          <w:sz w:val="30"/>
          <w:szCs w:val="30"/>
          <w:lang w:val="en-US" w:eastAsia="zh-CN"/>
        </w:rPr>
        <w:t>依</w:t>
      </w:r>
      <w:r>
        <w:rPr>
          <w:rFonts w:hint="eastAsia" w:eastAsia="仿宋_GB2312"/>
          <w:color w:val="000000" w:themeColor="text1"/>
          <w:sz w:val="32"/>
          <w:szCs w:val="32"/>
          <w:highlight w:val="none"/>
          <w:lang w:val="en-US" w:eastAsia="zh-CN"/>
          <w14:textFill>
            <w14:solidFill>
              <w14:schemeClr w14:val="tx1"/>
            </w14:solidFill>
          </w14:textFill>
        </w:rPr>
        <w:t>托</w:t>
      </w:r>
      <w:r>
        <w:rPr>
          <w:rFonts w:hint="eastAsia" w:eastAsia="仿宋_GB2312"/>
          <w:color w:val="000000" w:themeColor="text1"/>
          <w:sz w:val="32"/>
          <w:szCs w:val="32"/>
          <w:highlight w:val="none"/>
          <w:lang w:eastAsia="zh-CN"/>
          <w14:textFill>
            <w14:solidFill>
              <w14:schemeClr w14:val="tx1"/>
            </w14:solidFill>
          </w14:textFill>
        </w:rPr>
        <w:t>现有593</w:t>
      </w:r>
      <w:r>
        <w:rPr>
          <w:rFonts w:hint="eastAsia" w:eastAsia="仿宋_GB2312"/>
          <w:color w:val="000000" w:themeColor="text1"/>
          <w:sz w:val="32"/>
          <w:szCs w:val="32"/>
          <w:highlight w:val="none"/>
          <w14:textFill>
            <w14:solidFill>
              <w14:schemeClr w14:val="tx1"/>
            </w14:solidFill>
          </w14:textFill>
        </w:rPr>
        <w:t>m</w:t>
      </w:r>
      <w:r>
        <w:rPr>
          <w:rFonts w:hint="eastAsia" w:eastAsia="仿宋_GB2312"/>
          <w:color w:val="000000" w:themeColor="text1"/>
          <w:sz w:val="32"/>
          <w:szCs w:val="32"/>
          <w:highlight w:val="none"/>
          <w:vertAlign w:val="superscript"/>
          <w14:textFill>
            <w14:solidFill>
              <w14:schemeClr w14:val="tx1"/>
            </w14:solidFill>
          </w14:textFill>
        </w:rPr>
        <w:t>2</w:t>
      </w:r>
      <w:r>
        <w:rPr>
          <w:rFonts w:hint="eastAsia" w:eastAsia="仿宋_GB2312"/>
          <w:color w:val="000000" w:themeColor="text1"/>
          <w:sz w:val="32"/>
          <w:szCs w:val="32"/>
          <w:highlight w:val="none"/>
          <w:lang w:eastAsia="zh-CN"/>
          <w14:textFill>
            <w14:solidFill>
              <w14:schemeClr w14:val="tx1"/>
            </w14:solidFill>
          </w14:textFill>
        </w:rPr>
        <w:t>一般固废堆场暂存，</w:t>
      </w:r>
      <w:r>
        <w:rPr>
          <w:rFonts w:hint="eastAsia" w:eastAsia="仿宋_GB2312"/>
          <w:color w:val="000000" w:themeColor="text1"/>
          <w:sz w:val="32"/>
          <w:szCs w:val="32"/>
          <w:highlight w:val="none"/>
          <w:lang w:val="en-US" w:eastAsia="zh-CN"/>
          <w14:textFill>
            <w14:solidFill>
              <w14:schemeClr w14:val="tx1"/>
            </w14:solidFill>
          </w14:textFill>
        </w:rPr>
        <w:t>定期</w:t>
      </w:r>
      <w:r>
        <w:rPr>
          <w:rFonts w:hint="eastAsia" w:eastAsia="仿宋_GB2312"/>
          <w:color w:val="000000" w:themeColor="text1"/>
          <w:sz w:val="32"/>
          <w:szCs w:val="32"/>
          <w:highlight w:val="none"/>
          <w:lang w:eastAsia="zh-CN"/>
          <w14:textFill>
            <w14:solidFill>
              <w14:schemeClr w14:val="tx1"/>
            </w14:solidFill>
          </w14:textFill>
        </w:rPr>
        <w:t>委托</w:t>
      </w:r>
      <w:r>
        <w:rPr>
          <w:rFonts w:hint="eastAsia" w:eastAsia="仿宋_GB2312"/>
          <w:color w:val="000000" w:themeColor="text1"/>
          <w:sz w:val="32"/>
          <w:szCs w:val="32"/>
          <w:highlight w:val="none"/>
          <w:lang w:val="en-US" w:eastAsia="zh-CN"/>
          <w14:textFill>
            <w14:solidFill>
              <w14:schemeClr w14:val="tx1"/>
            </w14:solidFill>
          </w14:textFill>
        </w:rPr>
        <w:t>处置公司</w:t>
      </w:r>
      <w:r>
        <w:rPr>
          <w:rFonts w:hint="eastAsia" w:eastAsia="仿宋_GB2312"/>
          <w:color w:val="000000" w:themeColor="text1"/>
          <w:sz w:val="32"/>
          <w:szCs w:val="32"/>
          <w:highlight w:val="none"/>
          <w:lang w:eastAsia="zh-CN"/>
          <w14:textFill>
            <w14:solidFill>
              <w14:schemeClr w14:val="tx1"/>
            </w14:solidFill>
          </w14:textFill>
        </w:rPr>
        <w:t>处理。一般工业固废贮存、转移及处置</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lang w:eastAsia="zh-CN"/>
          <w14:textFill>
            <w14:solidFill>
              <w14:schemeClr w14:val="tx1"/>
            </w14:solidFill>
          </w14:textFill>
        </w:rPr>
        <w:t>《一般工业固体废物贮存和填埋污染控制标准》(GB18599-2020)中相关标准</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yellow"/>
          <w:lang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（五）</w:t>
      </w:r>
      <w:r>
        <w:rPr>
          <w:rFonts w:hint="eastAsia" w:eastAsia="仿宋_GB2312"/>
          <w:color w:val="000000" w:themeColor="text1"/>
          <w:sz w:val="32"/>
          <w:szCs w:val="32"/>
          <w:highlight w:val="none"/>
          <w:lang w:eastAsia="zh-CN"/>
          <w14:textFill>
            <w14:solidFill>
              <w14:schemeClr w14:val="tx1"/>
            </w14:solidFill>
          </w14:textFill>
        </w:rPr>
        <w:t>加强设备运行及环境风险管理，落实《报告表》提出的风险防范措施，编制全厂突发环境事故应急预案，采取切实可行的工程控制和管理措施，防止发生污染事故，</w:t>
      </w:r>
      <w:r>
        <w:rPr>
          <w:rFonts w:hint="eastAsia" w:eastAsia="仿宋_GB2312"/>
          <w:color w:val="000000" w:themeColor="text1"/>
          <w:sz w:val="32"/>
          <w:szCs w:val="32"/>
          <w:highlight w:val="none"/>
          <w:lang w:val="en-US" w:eastAsia="zh-CN"/>
          <w14:textFill>
            <w14:solidFill>
              <w14:schemeClr w14:val="tx1"/>
            </w14:solidFill>
          </w14:textFill>
        </w:rPr>
        <w:t>同时开展</w:t>
      </w:r>
      <w:r>
        <w:rPr>
          <w:rFonts w:hint="eastAsia" w:eastAsia="仿宋_GB2312"/>
          <w:color w:val="000000" w:themeColor="text1"/>
          <w:sz w:val="32"/>
          <w:szCs w:val="32"/>
          <w:highlight w:val="none"/>
          <w:lang w:eastAsia="zh-CN"/>
          <w14:textFill>
            <w14:solidFill>
              <w14:schemeClr w14:val="tx1"/>
            </w14:solidFill>
          </w14:textFill>
        </w:rPr>
        <w:t>环保设施</w:t>
      </w:r>
      <w:r>
        <w:rPr>
          <w:rFonts w:hint="eastAsia" w:eastAsia="仿宋_GB2312"/>
          <w:color w:val="000000" w:themeColor="text1"/>
          <w:sz w:val="32"/>
          <w:szCs w:val="32"/>
          <w:highlight w:val="none"/>
          <w:lang w:val="en-US" w:eastAsia="zh-CN"/>
          <w14:textFill>
            <w14:solidFill>
              <w14:schemeClr w14:val="tx1"/>
            </w14:solidFill>
          </w14:textFill>
        </w:rPr>
        <w:t>安全风险辨识，关注</w:t>
      </w:r>
      <w:r>
        <w:rPr>
          <w:rFonts w:hint="eastAsia" w:eastAsia="仿宋_GB2312"/>
          <w:color w:val="000000" w:themeColor="text1"/>
          <w:sz w:val="32"/>
          <w:szCs w:val="32"/>
          <w:highlight w:val="none"/>
          <w:lang w:eastAsia="zh-CN"/>
          <w14:textFill>
            <w14:solidFill>
              <w14:schemeClr w14:val="tx1"/>
            </w14:solidFill>
          </w14:textFill>
        </w:rPr>
        <w:t>环保设施安全风险评估工作。做好重点区域防渗措施，防止土壤和地下水污染。</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（六）按照</w:t>
      </w:r>
      <w:r>
        <w:rPr>
          <w:rFonts w:eastAsia="仿宋_GB2312"/>
          <w:color w:val="000000" w:themeColor="text1"/>
          <w:sz w:val="32"/>
          <w:szCs w:val="32"/>
          <w:highlight w:val="none"/>
          <w14:textFill>
            <w14:solidFill>
              <w14:schemeClr w14:val="tx1"/>
            </w14:solidFill>
          </w14:textFill>
        </w:rPr>
        <w:t>《江苏省排污口设置及规范</w:t>
      </w:r>
      <w:bookmarkStart w:id="0" w:name="_GoBack"/>
      <w:bookmarkEnd w:id="0"/>
      <w:r>
        <w:rPr>
          <w:rFonts w:eastAsia="仿宋_GB2312"/>
          <w:color w:val="000000" w:themeColor="text1"/>
          <w:sz w:val="32"/>
          <w:szCs w:val="32"/>
          <w:highlight w:val="none"/>
          <w14:textFill>
            <w14:solidFill>
              <w14:schemeClr w14:val="tx1"/>
            </w14:solidFill>
          </w14:textFill>
        </w:rPr>
        <w:t>化整治管理办法》的规定设置排污口和标志。按《报告表》提出的环境管理与监测计划实施日常环境管理与监测。</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四、本项目实施后</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主要</w:t>
      </w:r>
      <w:r>
        <w:rPr>
          <w:rFonts w:eastAsia="仿宋_GB2312"/>
          <w:color w:val="000000" w:themeColor="text1"/>
          <w:sz w:val="32"/>
          <w:szCs w:val="32"/>
          <w:highlight w:val="none"/>
          <w14:textFill>
            <w14:solidFill>
              <w14:schemeClr w14:val="tx1"/>
            </w14:solidFill>
          </w14:textFill>
        </w:rPr>
        <w:t>污染物年排放总量核定为：</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（一）本项目</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大气污染物：VOCs</w:t>
      </w:r>
      <w:r>
        <w:rPr>
          <w:rFonts w:hint="eastAsia" w:eastAsia="仿宋_GB2312"/>
          <w:color w:val="000000" w:themeColor="text1"/>
          <w:sz w:val="32"/>
          <w:szCs w:val="32"/>
          <w:highlight w:val="none"/>
          <w:lang w:eastAsia="zh-CN"/>
          <w14:textFill>
            <w14:solidFill>
              <w14:schemeClr w14:val="tx1"/>
            </w14:solidFill>
          </w14:textFill>
        </w:rPr>
        <w:t>0.00252t/a</w:t>
      </w:r>
      <w:r>
        <w:rPr>
          <w:rFonts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废水污染物：</w:t>
      </w:r>
      <w:r>
        <w:rPr>
          <w:rFonts w:eastAsia="仿宋_GB2312"/>
          <w:color w:val="000000" w:themeColor="text1"/>
          <w:sz w:val="32"/>
          <w:szCs w:val="32"/>
          <w:highlight w:val="none"/>
          <w14:textFill>
            <w14:solidFill>
              <w14:schemeClr w14:val="tx1"/>
            </w14:solidFill>
          </w14:textFill>
        </w:rPr>
        <w:t>废水总量：</w:t>
      </w:r>
      <w:r>
        <w:rPr>
          <w:rFonts w:hint="eastAsia" w:eastAsia="仿宋_GB2312"/>
          <w:color w:val="000000" w:themeColor="text1"/>
          <w:sz w:val="32"/>
          <w:szCs w:val="32"/>
          <w:highlight w:val="none"/>
          <w14:textFill>
            <w14:solidFill>
              <w14:schemeClr w14:val="tx1"/>
            </w14:solidFill>
          </w14:textFill>
        </w:rPr>
        <w:t>128.9308</w:t>
      </w:r>
      <w:r>
        <w:rPr>
          <w:rFonts w:eastAsia="仿宋_GB2312"/>
          <w:color w:val="000000" w:themeColor="text1"/>
          <w:sz w:val="32"/>
          <w:szCs w:val="32"/>
          <w:highlight w:val="none"/>
          <w14:textFill>
            <w14:solidFill>
              <w14:schemeClr w14:val="tx1"/>
            </w14:solidFill>
          </w14:textFill>
        </w:rPr>
        <w:t>m</w:t>
      </w:r>
      <w:r>
        <w:rPr>
          <w:rFonts w:eastAsia="仿宋_GB2312"/>
          <w:color w:val="000000" w:themeColor="text1"/>
          <w:sz w:val="32"/>
          <w:szCs w:val="32"/>
          <w:highlight w:val="none"/>
          <w:vertAlign w:val="superscript"/>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/a</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接管量：COD</w:t>
      </w:r>
      <w:r>
        <w:rPr>
          <w:rFonts w:hint="eastAsia" w:eastAsia="仿宋_GB2312"/>
          <w:color w:val="000000" w:themeColor="text1"/>
          <w:sz w:val="32"/>
          <w:szCs w:val="32"/>
          <w:highlight w:val="none"/>
          <w14:textFill>
            <w14:solidFill>
              <w14:schemeClr w14:val="tx1"/>
            </w14:solidFill>
          </w14:textFill>
        </w:rPr>
        <w:t>0.0421</w:t>
      </w:r>
      <w:r>
        <w:rPr>
          <w:rFonts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SS</w:t>
      </w:r>
      <w:r>
        <w:rPr>
          <w:rFonts w:hint="eastAsia" w:eastAsia="仿宋_GB2312"/>
          <w:color w:val="000000" w:themeColor="text1"/>
          <w:sz w:val="32"/>
          <w:szCs w:val="32"/>
          <w:highlight w:val="none"/>
          <w14:textFill>
            <w14:solidFill>
              <w14:schemeClr w14:val="tx1"/>
            </w14:solidFill>
          </w14:textFill>
        </w:rPr>
        <w:t>0.017</w:t>
      </w:r>
      <w:r>
        <w:rPr>
          <w:rFonts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总磷</w:t>
      </w:r>
      <w:r>
        <w:rPr>
          <w:rFonts w:hint="eastAsia" w:eastAsia="仿宋_GB2312"/>
          <w:color w:val="000000" w:themeColor="text1"/>
          <w:sz w:val="32"/>
          <w:szCs w:val="32"/>
          <w:highlight w:val="none"/>
          <w14:textFill>
            <w14:solidFill>
              <w14:schemeClr w14:val="tx1"/>
            </w14:solidFill>
          </w14:textFill>
        </w:rPr>
        <w:t>0.00046</w:t>
      </w:r>
      <w:r>
        <w:rPr>
          <w:rFonts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氨氮</w:t>
      </w:r>
      <w:r>
        <w:rPr>
          <w:rFonts w:hint="eastAsia" w:eastAsia="仿宋_GB2312"/>
          <w:color w:val="000000" w:themeColor="text1"/>
          <w:sz w:val="32"/>
          <w:szCs w:val="32"/>
          <w:highlight w:val="none"/>
          <w14:textFill>
            <w14:solidFill>
              <w14:schemeClr w14:val="tx1"/>
            </w14:solidFill>
          </w14:textFill>
        </w:rPr>
        <w:t>0.00328</w:t>
      </w:r>
      <w:r>
        <w:rPr>
          <w:rFonts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总氮</w:t>
      </w:r>
      <w:r>
        <w:rPr>
          <w:rFonts w:hint="eastAsia" w:eastAsia="仿宋_GB2312"/>
          <w:color w:val="000000" w:themeColor="text1"/>
          <w:sz w:val="32"/>
          <w:szCs w:val="32"/>
          <w:highlight w:val="none"/>
          <w14:textFill>
            <w14:solidFill>
              <w14:schemeClr w14:val="tx1"/>
            </w14:solidFill>
          </w14:textFill>
        </w:rPr>
        <w:t>0.00516</w:t>
      </w:r>
      <w:r>
        <w:rPr>
          <w:rFonts w:eastAsia="仿宋_GB2312"/>
          <w:color w:val="000000" w:themeColor="text1"/>
          <w:sz w:val="32"/>
          <w:szCs w:val="32"/>
          <w:highlight w:val="none"/>
          <w14:textFill>
            <w14:solidFill>
              <w14:schemeClr w14:val="tx1"/>
            </w14:solidFill>
          </w14:textFill>
        </w:rPr>
        <w:t>t/a；</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外排量：COD</w:t>
      </w:r>
      <w:r>
        <w:rPr>
          <w:rFonts w:hint="eastAsia" w:eastAsia="仿宋_GB2312"/>
          <w:color w:val="000000" w:themeColor="text1"/>
          <w:sz w:val="32"/>
          <w:szCs w:val="32"/>
          <w:highlight w:val="none"/>
          <w14:textFill>
            <w14:solidFill>
              <w14:schemeClr w14:val="tx1"/>
            </w14:solidFill>
          </w14:textFill>
        </w:rPr>
        <w:t>0.0064</w:t>
      </w:r>
      <w:r>
        <w:rPr>
          <w:rFonts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SS</w:t>
      </w:r>
      <w:r>
        <w:rPr>
          <w:rFonts w:hint="eastAsia" w:eastAsia="仿宋_GB2312"/>
          <w:color w:val="000000" w:themeColor="text1"/>
          <w:sz w:val="32"/>
          <w:szCs w:val="32"/>
          <w:highlight w:val="none"/>
          <w14:textFill>
            <w14:solidFill>
              <w14:schemeClr w14:val="tx1"/>
            </w14:solidFill>
          </w14:textFill>
        </w:rPr>
        <w:t>0.00128</w:t>
      </w:r>
      <w:r>
        <w:rPr>
          <w:rFonts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总磷</w:t>
      </w:r>
      <w:r>
        <w:rPr>
          <w:rFonts w:hint="eastAsia" w:eastAsia="仿宋_GB2312"/>
          <w:color w:val="000000" w:themeColor="text1"/>
          <w:sz w:val="32"/>
          <w:szCs w:val="32"/>
          <w:highlight w:val="none"/>
          <w14:textFill>
            <w14:solidFill>
              <w14:schemeClr w14:val="tx1"/>
            </w14:solidFill>
          </w14:textFill>
        </w:rPr>
        <w:t>0.00006</w:t>
      </w:r>
      <w:r>
        <w:rPr>
          <w:rFonts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氨氮</w:t>
      </w:r>
      <w:r>
        <w:rPr>
          <w:rFonts w:hint="eastAsia" w:eastAsia="仿宋_GB2312"/>
          <w:color w:val="000000" w:themeColor="text1"/>
          <w:sz w:val="32"/>
          <w:szCs w:val="32"/>
          <w:highlight w:val="none"/>
          <w14:textFill>
            <w14:solidFill>
              <w14:schemeClr w14:val="tx1"/>
            </w14:solidFill>
          </w14:textFill>
        </w:rPr>
        <w:t>0.0006</w:t>
      </w:r>
      <w:r>
        <w:rPr>
          <w:rFonts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总氮</w:t>
      </w:r>
      <w:r>
        <w:rPr>
          <w:rFonts w:hint="eastAsia" w:eastAsia="仿宋_GB2312"/>
          <w:color w:val="000000" w:themeColor="text1"/>
          <w:sz w:val="32"/>
          <w:szCs w:val="32"/>
          <w:highlight w:val="none"/>
          <w14:textFill>
            <w14:solidFill>
              <w14:schemeClr w14:val="tx1"/>
            </w14:solidFill>
          </w14:textFill>
        </w:rPr>
        <w:t>0.0019</w:t>
      </w:r>
      <w:r>
        <w:rPr>
          <w:rFonts w:eastAsia="仿宋_GB2312"/>
          <w:color w:val="000000" w:themeColor="text1"/>
          <w:sz w:val="32"/>
          <w:szCs w:val="32"/>
          <w:highlight w:val="none"/>
          <w14:textFill>
            <w14:solidFill>
              <w14:schemeClr w14:val="tx1"/>
            </w14:solidFill>
          </w14:textFill>
        </w:rPr>
        <w:t>t/a。</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二）</w:t>
      </w:r>
      <w:r>
        <w:rPr>
          <w:rFonts w:hint="eastAsia" w:eastAsia="仿宋_GB2312"/>
          <w:color w:val="000000" w:themeColor="text1"/>
          <w:sz w:val="32"/>
          <w:szCs w:val="32"/>
          <w:highlight w:val="none"/>
          <w:lang w:eastAsia="zh-CN"/>
          <w14:textFill>
            <w14:solidFill>
              <w14:schemeClr w14:val="tx1"/>
            </w14:solidFill>
          </w14:textFill>
        </w:rPr>
        <w:t>建成后全厂</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废气：粉尘212.9525t/a，环氧丙烷0.0044t/a，硫酸雾0.0045t/a，醋酸0.13t/a，氯化氢0.104t/a，VOCs0.13692t/a。</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废水总量：1631024.611m</w:t>
      </w:r>
      <w:r>
        <w:rPr>
          <w:rFonts w:hint="eastAsia" w:eastAsia="仿宋_GB2312"/>
          <w:color w:val="000000" w:themeColor="text1"/>
          <w:sz w:val="32"/>
          <w:szCs w:val="32"/>
          <w:highlight w:val="none"/>
          <w:vertAlign w:val="superscript"/>
          <w:lang w:eastAsia="zh-CN"/>
          <w14:textFill>
            <w14:solidFill>
              <w14:schemeClr w14:val="tx1"/>
            </w14:solidFill>
          </w14:textFill>
        </w:rPr>
        <w:t>3</w:t>
      </w:r>
      <w:r>
        <w:rPr>
          <w:rFonts w:hint="eastAsia" w:eastAsia="仿宋_GB2312"/>
          <w:color w:val="000000" w:themeColor="text1"/>
          <w:sz w:val="32"/>
          <w:szCs w:val="32"/>
          <w:highlight w:val="none"/>
          <w:lang w:eastAsia="zh-CN"/>
          <w14:textFill>
            <w14:solidFill>
              <w14:schemeClr w14:val="tx1"/>
            </w14:solidFill>
          </w14:textFill>
        </w:rPr>
        <w:t>/a</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接管量：COD489.3071t/a，SS114.171t/a，氨氮12.71128t/a，总氮19.51816t/a，总磷8.14746t/a，总镍10.568kg/a，石油类0.44t/a。</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外排量：COD81.5504t/a，SS16.30928t/a，氨氮8.1546t/a，总氮24.4649t/a，总磷0.81506t/a，总镍10.568kg/a，石油类0.44t/a。</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固废废物：全部综合利用或安全处置。</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五、</w:t>
      </w:r>
      <w:r>
        <w:rPr>
          <w:rFonts w:eastAsia="仿宋_GB2312"/>
          <w:color w:val="000000" w:themeColor="text1"/>
          <w:sz w:val="32"/>
          <w:szCs w:val="32"/>
          <w:highlight w:val="none"/>
          <w14:textFill>
            <w14:solidFill>
              <w14:schemeClr w14:val="tx1"/>
            </w14:solidFill>
          </w14:textFill>
        </w:rPr>
        <w:t>项目建设必须严格执行环境保护</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三同时</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制度</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须按规定程序实施竣工环境保护验收</w:t>
      </w:r>
      <w:r>
        <w:rPr>
          <w:rFonts w:hint="eastAsia"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六、</w:t>
      </w:r>
      <w:r>
        <w:rPr>
          <w:rFonts w:eastAsia="仿宋_GB2312"/>
          <w:color w:val="000000" w:themeColor="text1"/>
          <w:sz w:val="32"/>
          <w:szCs w:val="32"/>
          <w:highlight w:val="none"/>
          <w14:textFill>
            <w14:solidFill>
              <w14:schemeClr w14:val="tx1"/>
            </w14:solidFill>
          </w14:textFill>
        </w:rPr>
        <w:t>项目建设</w:t>
      </w:r>
      <w:r>
        <w:rPr>
          <w:rFonts w:hint="eastAsia" w:eastAsia="仿宋_GB2312"/>
          <w:color w:val="000000" w:themeColor="text1"/>
          <w:sz w:val="32"/>
          <w:szCs w:val="32"/>
          <w:highlight w:val="none"/>
          <w14:textFill>
            <w14:solidFill>
              <w14:schemeClr w14:val="tx1"/>
            </w14:solidFill>
          </w14:textFill>
        </w:rPr>
        <w:t>和运行</w:t>
      </w:r>
      <w:r>
        <w:rPr>
          <w:rFonts w:eastAsia="仿宋_GB2312"/>
          <w:color w:val="000000" w:themeColor="text1"/>
          <w:sz w:val="32"/>
          <w:szCs w:val="32"/>
          <w:highlight w:val="none"/>
          <w14:textFill>
            <w14:solidFill>
              <w14:schemeClr w14:val="tx1"/>
            </w14:solidFill>
          </w14:textFill>
        </w:rPr>
        <w:t>期间的环境监管由连云港市生态环境局高新区分局负责。</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七</w:t>
      </w:r>
      <w:r>
        <w:rPr>
          <w:rFonts w:eastAsia="仿宋_GB2312"/>
          <w:color w:val="000000" w:themeColor="text1"/>
          <w:sz w:val="32"/>
          <w:szCs w:val="32"/>
          <w:highlight w:val="none"/>
          <w14:textFill>
            <w14:solidFill>
              <w14:schemeClr w14:val="tx1"/>
            </w14:solidFill>
          </w14:textFill>
        </w:rPr>
        <w:t>、项目的性质、规模、地点</w:t>
      </w:r>
      <w:r>
        <w:rPr>
          <w:rFonts w:hint="eastAsia" w:eastAsia="仿宋_GB2312"/>
          <w:color w:val="000000" w:themeColor="text1"/>
          <w:sz w:val="32"/>
          <w:szCs w:val="32"/>
          <w:highlight w:val="none"/>
          <w14:textFill>
            <w14:solidFill>
              <w14:schemeClr w14:val="tx1"/>
            </w14:solidFill>
          </w14:textFill>
        </w:rPr>
        <w:t>、采用的生产工艺</w:t>
      </w:r>
      <w:r>
        <w:rPr>
          <w:rFonts w:eastAsia="仿宋_GB2312"/>
          <w:color w:val="000000" w:themeColor="text1"/>
          <w:sz w:val="32"/>
          <w:szCs w:val="32"/>
          <w:highlight w:val="none"/>
          <w14:textFill>
            <w14:solidFill>
              <w14:schemeClr w14:val="tx1"/>
            </w14:solidFill>
          </w14:textFill>
        </w:rPr>
        <w:t>或者防治污染、防止生态破坏的措施发生重大变动的</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应当重新报批项目的环境影响评价文件。项目自批准之日起超过五年方开工建设的</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环评文件须重新报审。</w:t>
      </w:r>
    </w:p>
    <w:p>
      <w:pPr>
        <w:adjustRightInd w:val="0"/>
        <w:snapToGrid w:val="0"/>
        <w:spacing w:line="560" w:lineRule="exact"/>
        <w:ind w:firstLine="640" w:firstLineChars="200"/>
        <w:rPr>
          <w:rFonts w:eastAsia="仿宋_GB2312"/>
          <w:color w:val="000000" w:themeColor="text1"/>
          <w:sz w:val="32"/>
          <w:szCs w:val="32"/>
          <w:highlight w:val="yellow"/>
          <w14:textFill>
            <w14:solidFill>
              <w14:schemeClr w14:val="tx1"/>
            </w14:solidFill>
          </w14:textFill>
        </w:rPr>
      </w:pPr>
    </w:p>
    <w:p>
      <w:pPr>
        <w:adjustRightInd w:val="0"/>
        <w:snapToGrid w:val="0"/>
        <w:spacing w:line="560" w:lineRule="exact"/>
        <w:ind w:firstLine="640" w:firstLineChars="200"/>
        <w:rPr>
          <w:rFonts w:hint="eastAsia"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(项目代码：2406-320772-89-01-826243）</w:t>
      </w:r>
    </w:p>
    <w:p>
      <w:pPr>
        <w:adjustRightInd w:val="0"/>
        <w:snapToGrid w:val="0"/>
        <w:spacing w:line="560" w:lineRule="exact"/>
        <w:ind w:firstLine="640" w:firstLineChars="200"/>
        <w:rPr>
          <w:rFonts w:eastAsia="仿宋_GB2312"/>
          <w:color w:val="000000" w:themeColor="text1"/>
          <w:sz w:val="32"/>
          <w:szCs w:val="32"/>
          <w:highlight w:val="yellow"/>
          <w14:textFill>
            <w14:solidFill>
              <w14:schemeClr w14:val="tx1"/>
            </w14:solidFill>
          </w14:textFill>
        </w:rPr>
      </w:pPr>
    </w:p>
    <w:p>
      <w:pPr>
        <w:adjustRightInd w:val="0"/>
        <w:snapToGrid w:val="0"/>
        <w:spacing w:line="560" w:lineRule="exact"/>
        <w:ind w:firstLine="640" w:firstLineChars="200"/>
        <w:rPr>
          <w:rFonts w:eastAsia="仿宋_GB2312"/>
          <w:color w:val="000000" w:themeColor="text1"/>
          <w:sz w:val="32"/>
          <w:szCs w:val="32"/>
          <w:highlight w:val="yellow"/>
          <w14:textFill>
            <w14:solidFill>
              <w14:schemeClr w14:val="tx1"/>
            </w14:solidFill>
          </w14:textFill>
        </w:rPr>
      </w:pPr>
    </w:p>
    <w:p>
      <w:pPr>
        <w:adjustRightInd w:val="0"/>
        <w:snapToGrid w:val="0"/>
        <w:spacing w:line="560" w:lineRule="exact"/>
        <w:ind w:firstLine="2720" w:firstLineChars="85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连云港高新技术产业开发区行政审批局</w:t>
      </w:r>
    </w:p>
    <w:p>
      <w:pPr>
        <w:wordWrap w:val="0"/>
        <w:adjustRightInd w:val="0"/>
        <w:snapToGrid w:val="0"/>
        <w:spacing w:line="560" w:lineRule="exact"/>
        <w:ind w:firstLine="640" w:firstLineChars="200"/>
        <w:jc w:val="right"/>
        <w:rPr>
          <w:rFonts w:hint="default" w:eastAsia="仿宋_GB2312"/>
          <w:color w:val="000000" w:themeColor="text1"/>
          <w:sz w:val="32"/>
          <w:szCs w:val="32"/>
          <w:highlight w:val="none"/>
          <w:lang w:val="en-US"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202</w:t>
      </w:r>
      <w:r>
        <w:rPr>
          <w:rFonts w:hint="eastAsia" w:eastAsia="仿宋_GB2312"/>
          <w:color w:val="000000" w:themeColor="text1"/>
          <w:sz w:val="32"/>
          <w:szCs w:val="32"/>
          <w:highlight w:val="none"/>
          <w:lang w:val="en-US" w:eastAsia="zh-CN"/>
          <w14:textFill>
            <w14:solidFill>
              <w14:schemeClr w14:val="tx1"/>
            </w14:solidFill>
          </w14:textFill>
        </w:rPr>
        <w:t>5</w:t>
      </w:r>
      <w:r>
        <w:rPr>
          <w:rFonts w:eastAsia="仿宋_GB2312"/>
          <w:color w:val="000000" w:themeColor="text1"/>
          <w:sz w:val="32"/>
          <w:szCs w:val="32"/>
          <w:highlight w:val="none"/>
          <w14:textFill>
            <w14:solidFill>
              <w14:schemeClr w14:val="tx1"/>
            </w14:solidFill>
          </w14:textFill>
        </w:rPr>
        <w:t>年</w:t>
      </w:r>
      <w:r>
        <w:rPr>
          <w:rFonts w:hint="eastAsia" w:eastAsia="仿宋_GB2312"/>
          <w:color w:val="000000" w:themeColor="text1"/>
          <w:sz w:val="32"/>
          <w:szCs w:val="32"/>
          <w:highlight w:val="none"/>
          <w:lang w:val="en-US" w:eastAsia="zh-CN"/>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月</w:t>
      </w:r>
      <w:r>
        <w:rPr>
          <w:rFonts w:hint="eastAsia" w:eastAsia="仿宋_GB2312"/>
          <w:color w:val="000000" w:themeColor="text1"/>
          <w:sz w:val="32"/>
          <w:szCs w:val="32"/>
          <w:highlight w:val="none"/>
          <w:lang w:val="en-US" w:eastAsia="zh-CN"/>
          <w14:textFill>
            <w14:solidFill>
              <w14:schemeClr w14:val="tx1"/>
            </w14:solidFill>
          </w14:textFill>
        </w:rPr>
        <w:t>12</w:t>
      </w:r>
      <w:r>
        <w:rPr>
          <w:rFonts w:eastAsia="仿宋_GB2312"/>
          <w:color w:val="000000" w:themeColor="text1"/>
          <w:sz w:val="32"/>
          <w:szCs w:val="32"/>
          <w:highlight w:val="none"/>
          <w14:textFill>
            <w14:solidFill>
              <w14:schemeClr w14:val="tx1"/>
            </w14:solidFill>
          </w14:textFill>
        </w:rPr>
        <w:t>日</w:t>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p>
    <w:p>
      <w:pPr>
        <w:widowControl/>
        <w:adjustRightInd w:val="0"/>
        <w:snapToGrid w:val="0"/>
        <w:spacing w:line="560" w:lineRule="exact"/>
        <w:jc w:val="left"/>
        <w:rPr>
          <w:rFonts w:eastAsia="仿宋_GB2312"/>
          <w:color w:val="000000" w:themeColor="text1"/>
          <w:sz w:val="32"/>
          <w:szCs w:val="32"/>
          <w:highlight w:val="none"/>
          <w14:textFill>
            <w14:solidFill>
              <w14:schemeClr w14:val="tx1"/>
            </w14:solidFill>
          </w14:textFill>
        </w:rPr>
      </w:pPr>
    </w:p>
    <w:p>
      <w:pPr>
        <w:widowControl/>
        <w:adjustRightInd w:val="0"/>
        <w:snapToGrid w:val="0"/>
        <w:spacing w:line="560" w:lineRule="exact"/>
        <w:jc w:val="left"/>
        <w:rPr>
          <w:rFonts w:eastAsia="仿宋_GB2312"/>
          <w:color w:val="000000" w:themeColor="text1"/>
          <w:sz w:val="32"/>
          <w:szCs w:val="32"/>
          <w:highlight w:val="none"/>
          <w14:textFill>
            <w14:solidFill>
              <w14:schemeClr w14:val="tx1"/>
            </w14:solidFill>
          </w14:textFill>
        </w:rPr>
      </w:pPr>
    </w:p>
    <w:p>
      <w:pPr>
        <w:widowControl/>
        <w:adjustRightInd w:val="0"/>
        <w:snapToGrid w:val="0"/>
        <w:spacing w:line="560" w:lineRule="exact"/>
        <w:jc w:val="left"/>
        <w:rPr>
          <w:rFonts w:eastAsia="仿宋_GB2312"/>
          <w:color w:val="000000" w:themeColor="text1"/>
          <w:sz w:val="32"/>
          <w:szCs w:val="32"/>
          <w:highlight w:val="none"/>
          <w14:textFill>
            <w14:solidFill>
              <w14:schemeClr w14:val="tx1"/>
            </w14:solidFill>
          </w14:textFill>
        </w:rPr>
      </w:pPr>
    </w:p>
    <w:p>
      <w:pPr>
        <w:widowControl/>
        <w:adjustRightInd w:val="0"/>
        <w:snapToGrid w:val="0"/>
        <w:spacing w:line="560" w:lineRule="exact"/>
        <w:jc w:val="left"/>
        <w:rPr>
          <w:rFonts w:eastAsia="仿宋_GB2312"/>
          <w:color w:val="000000" w:themeColor="text1"/>
          <w:sz w:val="32"/>
          <w:szCs w:val="32"/>
          <w:highlight w:val="none"/>
          <w14:textFill>
            <w14:solidFill>
              <w14:schemeClr w14:val="tx1"/>
            </w14:solidFill>
          </w14:textFill>
        </w:rPr>
      </w:pPr>
    </w:p>
    <w:p>
      <w:pPr>
        <w:widowControl/>
        <w:adjustRightInd w:val="0"/>
        <w:snapToGrid w:val="0"/>
        <w:spacing w:line="560" w:lineRule="exact"/>
        <w:jc w:val="left"/>
        <w:rPr>
          <w:rFonts w:eastAsia="仿宋_GB2312"/>
          <w:color w:val="000000" w:themeColor="text1"/>
          <w:sz w:val="32"/>
          <w:szCs w:val="32"/>
          <w:highlight w:val="none"/>
          <w14:textFill>
            <w14:solidFill>
              <w14:schemeClr w14:val="tx1"/>
            </w14:solidFill>
          </w14:textFill>
        </w:rPr>
      </w:pPr>
    </w:p>
    <w:p>
      <w:pPr>
        <w:widowControl/>
        <w:adjustRightInd w:val="0"/>
        <w:snapToGrid w:val="0"/>
        <w:spacing w:line="560" w:lineRule="exact"/>
        <w:jc w:val="left"/>
        <w:rPr>
          <w:rFonts w:eastAsia="仿宋_GB2312"/>
          <w:color w:val="000000" w:themeColor="text1"/>
          <w:sz w:val="32"/>
          <w:szCs w:val="32"/>
          <w:highlight w:val="none"/>
          <w14:textFill>
            <w14:solidFill>
              <w14:schemeClr w14:val="tx1"/>
            </w14:solidFill>
          </w14:textFill>
        </w:rPr>
      </w:pPr>
    </w:p>
    <w:p>
      <w:pPr>
        <w:widowControl/>
        <w:adjustRightInd w:val="0"/>
        <w:snapToGrid w:val="0"/>
        <w:spacing w:line="560" w:lineRule="exact"/>
        <w:jc w:val="left"/>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抄送：连云港市生态环境局高新区分局</w:t>
      </w:r>
      <w:r>
        <w:rPr>
          <w:rFonts w:hint="eastAsia" w:eastAsia="仿宋_GB2312"/>
          <w:color w:val="000000" w:themeColor="text1"/>
          <w:sz w:val="32"/>
          <w:szCs w:val="32"/>
          <w:highlight w:val="none"/>
          <w:lang w:eastAsia="zh-CN"/>
          <w14:textFill>
            <w14:solidFill>
              <w14:schemeClr w14:val="tx1"/>
            </w14:solidFill>
          </w14:textFill>
        </w:rPr>
        <w:t>，江苏智盛环境科技有限公司</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D76D"/>
    <w:multiLevelType w:val="singleLevel"/>
    <w:tmpl w:val="D3D1D7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zhhYjMxNzg4Nzg2N2JiODVkN2JiZTdhNGUyNTEifQ=="/>
  </w:docVars>
  <w:rsids>
    <w:rsidRoot w:val="00A33778"/>
    <w:rsid w:val="000059B3"/>
    <w:rsid w:val="00011597"/>
    <w:rsid w:val="00024404"/>
    <w:rsid w:val="00025971"/>
    <w:rsid w:val="00053016"/>
    <w:rsid w:val="00053BD9"/>
    <w:rsid w:val="00063BEE"/>
    <w:rsid w:val="00064CEA"/>
    <w:rsid w:val="00093DAE"/>
    <w:rsid w:val="000A4E84"/>
    <w:rsid w:val="000C2272"/>
    <w:rsid w:val="000C578E"/>
    <w:rsid w:val="000D5994"/>
    <w:rsid w:val="00100764"/>
    <w:rsid w:val="00101347"/>
    <w:rsid w:val="00104E77"/>
    <w:rsid w:val="00107B67"/>
    <w:rsid w:val="00123F43"/>
    <w:rsid w:val="00135FB3"/>
    <w:rsid w:val="0016210A"/>
    <w:rsid w:val="001660B3"/>
    <w:rsid w:val="0017326B"/>
    <w:rsid w:val="001777C6"/>
    <w:rsid w:val="001969C2"/>
    <w:rsid w:val="001A5080"/>
    <w:rsid w:val="001B3CA1"/>
    <w:rsid w:val="001C09A0"/>
    <w:rsid w:val="001C3C15"/>
    <w:rsid w:val="001D495D"/>
    <w:rsid w:val="001D4E75"/>
    <w:rsid w:val="001E0A52"/>
    <w:rsid w:val="001F0518"/>
    <w:rsid w:val="0021592F"/>
    <w:rsid w:val="00235633"/>
    <w:rsid w:val="00241825"/>
    <w:rsid w:val="00257185"/>
    <w:rsid w:val="0025762B"/>
    <w:rsid w:val="00260A29"/>
    <w:rsid w:val="00261377"/>
    <w:rsid w:val="00261868"/>
    <w:rsid w:val="00265830"/>
    <w:rsid w:val="00282A85"/>
    <w:rsid w:val="00290E82"/>
    <w:rsid w:val="002921D2"/>
    <w:rsid w:val="002962B7"/>
    <w:rsid w:val="002A12EE"/>
    <w:rsid w:val="002A305B"/>
    <w:rsid w:val="002B0374"/>
    <w:rsid w:val="002B7B42"/>
    <w:rsid w:val="002C1DD6"/>
    <w:rsid w:val="002C215D"/>
    <w:rsid w:val="002D59FE"/>
    <w:rsid w:val="002F2386"/>
    <w:rsid w:val="002F52C1"/>
    <w:rsid w:val="00307056"/>
    <w:rsid w:val="00317D8A"/>
    <w:rsid w:val="00326697"/>
    <w:rsid w:val="003368FE"/>
    <w:rsid w:val="00346599"/>
    <w:rsid w:val="00353552"/>
    <w:rsid w:val="0036127B"/>
    <w:rsid w:val="00362AAE"/>
    <w:rsid w:val="003638F2"/>
    <w:rsid w:val="003643FE"/>
    <w:rsid w:val="00367E1D"/>
    <w:rsid w:val="00370A26"/>
    <w:rsid w:val="00374855"/>
    <w:rsid w:val="00374CCA"/>
    <w:rsid w:val="003762C7"/>
    <w:rsid w:val="00381859"/>
    <w:rsid w:val="00395332"/>
    <w:rsid w:val="003A42C6"/>
    <w:rsid w:val="003B374D"/>
    <w:rsid w:val="003B6CB1"/>
    <w:rsid w:val="003C02D9"/>
    <w:rsid w:val="003D3681"/>
    <w:rsid w:val="003E3B7D"/>
    <w:rsid w:val="003F3575"/>
    <w:rsid w:val="00400B23"/>
    <w:rsid w:val="004027F2"/>
    <w:rsid w:val="0040331B"/>
    <w:rsid w:val="00405D67"/>
    <w:rsid w:val="004067A1"/>
    <w:rsid w:val="00407980"/>
    <w:rsid w:val="0041401B"/>
    <w:rsid w:val="0042713D"/>
    <w:rsid w:val="0043253D"/>
    <w:rsid w:val="004512EF"/>
    <w:rsid w:val="004639D4"/>
    <w:rsid w:val="00467A4C"/>
    <w:rsid w:val="00484C9A"/>
    <w:rsid w:val="004A2CE3"/>
    <w:rsid w:val="004A3D8B"/>
    <w:rsid w:val="004A5EF5"/>
    <w:rsid w:val="004B2573"/>
    <w:rsid w:val="004B4849"/>
    <w:rsid w:val="004B7C59"/>
    <w:rsid w:val="004C3DC8"/>
    <w:rsid w:val="004C426E"/>
    <w:rsid w:val="004C634C"/>
    <w:rsid w:val="004F79AA"/>
    <w:rsid w:val="00510EAF"/>
    <w:rsid w:val="00522A1F"/>
    <w:rsid w:val="00534A5E"/>
    <w:rsid w:val="0054249B"/>
    <w:rsid w:val="005432FD"/>
    <w:rsid w:val="00543541"/>
    <w:rsid w:val="0054508C"/>
    <w:rsid w:val="005472CC"/>
    <w:rsid w:val="005534FB"/>
    <w:rsid w:val="00556D6E"/>
    <w:rsid w:val="00556D9C"/>
    <w:rsid w:val="00562D41"/>
    <w:rsid w:val="00564609"/>
    <w:rsid w:val="00567E19"/>
    <w:rsid w:val="00571E37"/>
    <w:rsid w:val="00573300"/>
    <w:rsid w:val="00580144"/>
    <w:rsid w:val="00582329"/>
    <w:rsid w:val="0058444E"/>
    <w:rsid w:val="005976E9"/>
    <w:rsid w:val="00597F6E"/>
    <w:rsid w:val="005A206F"/>
    <w:rsid w:val="005A68E6"/>
    <w:rsid w:val="005B5556"/>
    <w:rsid w:val="005C708E"/>
    <w:rsid w:val="005C79FA"/>
    <w:rsid w:val="005D4278"/>
    <w:rsid w:val="005D577F"/>
    <w:rsid w:val="005D608E"/>
    <w:rsid w:val="005D75CE"/>
    <w:rsid w:val="005E3D4A"/>
    <w:rsid w:val="005E5075"/>
    <w:rsid w:val="005E7EE4"/>
    <w:rsid w:val="00600124"/>
    <w:rsid w:val="00600CB7"/>
    <w:rsid w:val="00600FF3"/>
    <w:rsid w:val="006124A7"/>
    <w:rsid w:val="00613B2D"/>
    <w:rsid w:val="00614D66"/>
    <w:rsid w:val="00615520"/>
    <w:rsid w:val="006203E0"/>
    <w:rsid w:val="0062558B"/>
    <w:rsid w:val="00626C16"/>
    <w:rsid w:val="006301DB"/>
    <w:rsid w:val="00633E6D"/>
    <w:rsid w:val="006433DC"/>
    <w:rsid w:val="00651D5A"/>
    <w:rsid w:val="006537A6"/>
    <w:rsid w:val="00667546"/>
    <w:rsid w:val="006724FF"/>
    <w:rsid w:val="0068144C"/>
    <w:rsid w:val="0068205A"/>
    <w:rsid w:val="006833FD"/>
    <w:rsid w:val="00683F0D"/>
    <w:rsid w:val="0069146E"/>
    <w:rsid w:val="00693BE2"/>
    <w:rsid w:val="006B0EBD"/>
    <w:rsid w:val="006B3023"/>
    <w:rsid w:val="006B618C"/>
    <w:rsid w:val="006C0A17"/>
    <w:rsid w:val="006C6A61"/>
    <w:rsid w:val="006D318A"/>
    <w:rsid w:val="006D77D9"/>
    <w:rsid w:val="006E2E1C"/>
    <w:rsid w:val="006F0110"/>
    <w:rsid w:val="006F2A51"/>
    <w:rsid w:val="006F2E67"/>
    <w:rsid w:val="0070153B"/>
    <w:rsid w:val="00701637"/>
    <w:rsid w:val="00706723"/>
    <w:rsid w:val="0071350A"/>
    <w:rsid w:val="00723A44"/>
    <w:rsid w:val="00760498"/>
    <w:rsid w:val="0077176D"/>
    <w:rsid w:val="00777168"/>
    <w:rsid w:val="00783DDD"/>
    <w:rsid w:val="007927CE"/>
    <w:rsid w:val="0079391A"/>
    <w:rsid w:val="00793CFE"/>
    <w:rsid w:val="007A266D"/>
    <w:rsid w:val="007A399B"/>
    <w:rsid w:val="007C06F7"/>
    <w:rsid w:val="007C1BC7"/>
    <w:rsid w:val="007C565A"/>
    <w:rsid w:val="007D085C"/>
    <w:rsid w:val="007E0DCB"/>
    <w:rsid w:val="007E1360"/>
    <w:rsid w:val="007E733A"/>
    <w:rsid w:val="007F4E71"/>
    <w:rsid w:val="007F61FE"/>
    <w:rsid w:val="00811136"/>
    <w:rsid w:val="0081690F"/>
    <w:rsid w:val="008201FA"/>
    <w:rsid w:val="0082660A"/>
    <w:rsid w:val="00833F05"/>
    <w:rsid w:val="008540EA"/>
    <w:rsid w:val="00862485"/>
    <w:rsid w:val="00863CBE"/>
    <w:rsid w:val="0086596E"/>
    <w:rsid w:val="008820E1"/>
    <w:rsid w:val="00883310"/>
    <w:rsid w:val="0088750A"/>
    <w:rsid w:val="008A0C9D"/>
    <w:rsid w:val="008A7C6E"/>
    <w:rsid w:val="008C16B9"/>
    <w:rsid w:val="008C38AA"/>
    <w:rsid w:val="008C5AE4"/>
    <w:rsid w:val="008C62CF"/>
    <w:rsid w:val="008D1948"/>
    <w:rsid w:val="008E64E4"/>
    <w:rsid w:val="00901626"/>
    <w:rsid w:val="00920F4F"/>
    <w:rsid w:val="00926B65"/>
    <w:rsid w:val="0093382E"/>
    <w:rsid w:val="0093420B"/>
    <w:rsid w:val="00940A92"/>
    <w:rsid w:val="00946B79"/>
    <w:rsid w:val="00970CD7"/>
    <w:rsid w:val="00972A65"/>
    <w:rsid w:val="009849DD"/>
    <w:rsid w:val="009939C6"/>
    <w:rsid w:val="00993BEE"/>
    <w:rsid w:val="009946BA"/>
    <w:rsid w:val="00994F6F"/>
    <w:rsid w:val="009A3662"/>
    <w:rsid w:val="009B2D48"/>
    <w:rsid w:val="009B5571"/>
    <w:rsid w:val="009C4E8D"/>
    <w:rsid w:val="009D1977"/>
    <w:rsid w:val="009F7FF0"/>
    <w:rsid w:val="00A07623"/>
    <w:rsid w:val="00A16446"/>
    <w:rsid w:val="00A17A7E"/>
    <w:rsid w:val="00A17D88"/>
    <w:rsid w:val="00A3090E"/>
    <w:rsid w:val="00A33778"/>
    <w:rsid w:val="00A421D0"/>
    <w:rsid w:val="00A42B77"/>
    <w:rsid w:val="00A50CBE"/>
    <w:rsid w:val="00A531E2"/>
    <w:rsid w:val="00A56529"/>
    <w:rsid w:val="00A6111D"/>
    <w:rsid w:val="00A61F6F"/>
    <w:rsid w:val="00A65B48"/>
    <w:rsid w:val="00A73025"/>
    <w:rsid w:val="00A93F02"/>
    <w:rsid w:val="00AA2532"/>
    <w:rsid w:val="00AB53A1"/>
    <w:rsid w:val="00AC429E"/>
    <w:rsid w:val="00AC4B54"/>
    <w:rsid w:val="00AD51BC"/>
    <w:rsid w:val="00AD716F"/>
    <w:rsid w:val="00AF5797"/>
    <w:rsid w:val="00AF5AC2"/>
    <w:rsid w:val="00B045D2"/>
    <w:rsid w:val="00B10318"/>
    <w:rsid w:val="00B123E3"/>
    <w:rsid w:val="00B30404"/>
    <w:rsid w:val="00B32FAC"/>
    <w:rsid w:val="00B400FA"/>
    <w:rsid w:val="00B42752"/>
    <w:rsid w:val="00B45B89"/>
    <w:rsid w:val="00B579FB"/>
    <w:rsid w:val="00B660D9"/>
    <w:rsid w:val="00B669CD"/>
    <w:rsid w:val="00B71512"/>
    <w:rsid w:val="00B7468C"/>
    <w:rsid w:val="00B876BD"/>
    <w:rsid w:val="00BB2551"/>
    <w:rsid w:val="00BB2E4A"/>
    <w:rsid w:val="00BC02DA"/>
    <w:rsid w:val="00BC226E"/>
    <w:rsid w:val="00BC26B6"/>
    <w:rsid w:val="00BC287A"/>
    <w:rsid w:val="00BC2BF3"/>
    <w:rsid w:val="00BD3991"/>
    <w:rsid w:val="00BD5126"/>
    <w:rsid w:val="00BE1663"/>
    <w:rsid w:val="00BE2C25"/>
    <w:rsid w:val="00BE7C89"/>
    <w:rsid w:val="00BF647C"/>
    <w:rsid w:val="00C11AD3"/>
    <w:rsid w:val="00C12A2C"/>
    <w:rsid w:val="00C131C7"/>
    <w:rsid w:val="00C347BB"/>
    <w:rsid w:val="00C41102"/>
    <w:rsid w:val="00C420E3"/>
    <w:rsid w:val="00C511BD"/>
    <w:rsid w:val="00C51C9E"/>
    <w:rsid w:val="00C55301"/>
    <w:rsid w:val="00C61C17"/>
    <w:rsid w:val="00C66A97"/>
    <w:rsid w:val="00C732AD"/>
    <w:rsid w:val="00C8219B"/>
    <w:rsid w:val="00C82A70"/>
    <w:rsid w:val="00C9008A"/>
    <w:rsid w:val="00C906A1"/>
    <w:rsid w:val="00CB4645"/>
    <w:rsid w:val="00CB61D3"/>
    <w:rsid w:val="00CC57D3"/>
    <w:rsid w:val="00CE46DF"/>
    <w:rsid w:val="00CF460E"/>
    <w:rsid w:val="00CF7050"/>
    <w:rsid w:val="00D042F1"/>
    <w:rsid w:val="00D213FC"/>
    <w:rsid w:val="00D223F7"/>
    <w:rsid w:val="00D22A50"/>
    <w:rsid w:val="00D22F21"/>
    <w:rsid w:val="00D23755"/>
    <w:rsid w:val="00D23E11"/>
    <w:rsid w:val="00D33DD0"/>
    <w:rsid w:val="00D3713D"/>
    <w:rsid w:val="00D40D33"/>
    <w:rsid w:val="00D42CBA"/>
    <w:rsid w:val="00D44424"/>
    <w:rsid w:val="00D46BD1"/>
    <w:rsid w:val="00D53955"/>
    <w:rsid w:val="00D53E9E"/>
    <w:rsid w:val="00D570CE"/>
    <w:rsid w:val="00D62AD7"/>
    <w:rsid w:val="00D67148"/>
    <w:rsid w:val="00D719D0"/>
    <w:rsid w:val="00D905DB"/>
    <w:rsid w:val="00D90B5D"/>
    <w:rsid w:val="00D91A79"/>
    <w:rsid w:val="00D9560D"/>
    <w:rsid w:val="00D97678"/>
    <w:rsid w:val="00DA1275"/>
    <w:rsid w:val="00DA44F5"/>
    <w:rsid w:val="00DC13E3"/>
    <w:rsid w:val="00DC7E29"/>
    <w:rsid w:val="00DD2A5E"/>
    <w:rsid w:val="00DD65F2"/>
    <w:rsid w:val="00DE39E3"/>
    <w:rsid w:val="00DF0747"/>
    <w:rsid w:val="00DF22F5"/>
    <w:rsid w:val="00DF2F35"/>
    <w:rsid w:val="00E1320E"/>
    <w:rsid w:val="00E33956"/>
    <w:rsid w:val="00E34EF0"/>
    <w:rsid w:val="00E3528B"/>
    <w:rsid w:val="00E37556"/>
    <w:rsid w:val="00E42D87"/>
    <w:rsid w:val="00E45575"/>
    <w:rsid w:val="00E47122"/>
    <w:rsid w:val="00E547F0"/>
    <w:rsid w:val="00E604A5"/>
    <w:rsid w:val="00E6260D"/>
    <w:rsid w:val="00E711B1"/>
    <w:rsid w:val="00E73446"/>
    <w:rsid w:val="00E73E7D"/>
    <w:rsid w:val="00E76881"/>
    <w:rsid w:val="00E91BFB"/>
    <w:rsid w:val="00EA0963"/>
    <w:rsid w:val="00EB0964"/>
    <w:rsid w:val="00EB1656"/>
    <w:rsid w:val="00EC04C8"/>
    <w:rsid w:val="00EC6178"/>
    <w:rsid w:val="00EC6B70"/>
    <w:rsid w:val="00ED5BDE"/>
    <w:rsid w:val="00F006B9"/>
    <w:rsid w:val="00F13008"/>
    <w:rsid w:val="00F1496D"/>
    <w:rsid w:val="00F2496E"/>
    <w:rsid w:val="00F355C7"/>
    <w:rsid w:val="00F436AA"/>
    <w:rsid w:val="00F5489B"/>
    <w:rsid w:val="00F6416E"/>
    <w:rsid w:val="00F667ED"/>
    <w:rsid w:val="00F9009F"/>
    <w:rsid w:val="00F90845"/>
    <w:rsid w:val="00F9330E"/>
    <w:rsid w:val="00FA07B3"/>
    <w:rsid w:val="00FA3C8F"/>
    <w:rsid w:val="00FA43AC"/>
    <w:rsid w:val="00FA6748"/>
    <w:rsid w:val="00FB14AF"/>
    <w:rsid w:val="00FB62B1"/>
    <w:rsid w:val="00FB731F"/>
    <w:rsid w:val="00FD0226"/>
    <w:rsid w:val="00FD308A"/>
    <w:rsid w:val="00FD66A5"/>
    <w:rsid w:val="00FE57C3"/>
    <w:rsid w:val="00FE628A"/>
    <w:rsid w:val="00FE753E"/>
    <w:rsid w:val="00FF5E04"/>
    <w:rsid w:val="00FF6740"/>
    <w:rsid w:val="02714395"/>
    <w:rsid w:val="02CC3BF2"/>
    <w:rsid w:val="02DD1A2B"/>
    <w:rsid w:val="02E35293"/>
    <w:rsid w:val="03CC0C05"/>
    <w:rsid w:val="04934A97"/>
    <w:rsid w:val="057228FE"/>
    <w:rsid w:val="05792019"/>
    <w:rsid w:val="05BB035D"/>
    <w:rsid w:val="06260797"/>
    <w:rsid w:val="07107E0D"/>
    <w:rsid w:val="07C92B50"/>
    <w:rsid w:val="07D75D82"/>
    <w:rsid w:val="07F669DC"/>
    <w:rsid w:val="082C3E90"/>
    <w:rsid w:val="09DA6CC4"/>
    <w:rsid w:val="09E85132"/>
    <w:rsid w:val="0B213C5F"/>
    <w:rsid w:val="0C22507E"/>
    <w:rsid w:val="0CD475BA"/>
    <w:rsid w:val="0D34281B"/>
    <w:rsid w:val="0ED604C7"/>
    <w:rsid w:val="0F7A7A09"/>
    <w:rsid w:val="0FDF5034"/>
    <w:rsid w:val="12626EF1"/>
    <w:rsid w:val="12FA4492"/>
    <w:rsid w:val="136450E5"/>
    <w:rsid w:val="136A730B"/>
    <w:rsid w:val="13CE7899"/>
    <w:rsid w:val="141334FE"/>
    <w:rsid w:val="15C3133C"/>
    <w:rsid w:val="1678022A"/>
    <w:rsid w:val="168E3162"/>
    <w:rsid w:val="16B910A6"/>
    <w:rsid w:val="16D14840"/>
    <w:rsid w:val="17F32726"/>
    <w:rsid w:val="18B03A11"/>
    <w:rsid w:val="18F7519C"/>
    <w:rsid w:val="1A9133CF"/>
    <w:rsid w:val="1AA166D6"/>
    <w:rsid w:val="1AEB31F7"/>
    <w:rsid w:val="1AFF2A2E"/>
    <w:rsid w:val="1B737A55"/>
    <w:rsid w:val="1B7F7052"/>
    <w:rsid w:val="1B934AB5"/>
    <w:rsid w:val="1BC31046"/>
    <w:rsid w:val="1D0460DA"/>
    <w:rsid w:val="1D2301F8"/>
    <w:rsid w:val="1D541B93"/>
    <w:rsid w:val="1D5A3F4C"/>
    <w:rsid w:val="1D8611E5"/>
    <w:rsid w:val="1DB44F31"/>
    <w:rsid w:val="1E78648F"/>
    <w:rsid w:val="1EBC3B3D"/>
    <w:rsid w:val="1F047DC4"/>
    <w:rsid w:val="1F2779A5"/>
    <w:rsid w:val="1F470500"/>
    <w:rsid w:val="1F5617BC"/>
    <w:rsid w:val="1F982448"/>
    <w:rsid w:val="206B3164"/>
    <w:rsid w:val="20913F51"/>
    <w:rsid w:val="20BF0C96"/>
    <w:rsid w:val="20CF6B85"/>
    <w:rsid w:val="21920880"/>
    <w:rsid w:val="219422DC"/>
    <w:rsid w:val="21FF14A3"/>
    <w:rsid w:val="22205764"/>
    <w:rsid w:val="23022C86"/>
    <w:rsid w:val="23733FB9"/>
    <w:rsid w:val="23A518B2"/>
    <w:rsid w:val="23EF5E28"/>
    <w:rsid w:val="24204E9C"/>
    <w:rsid w:val="24977834"/>
    <w:rsid w:val="25537BFE"/>
    <w:rsid w:val="26303910"/>
    <w:rsid w:val="263F0183"/>
    <w:rsid w:val="27096DA5"/>
    <w:rsid w:val="27222275"/>
    <w:rsid w:val="275B283A"/>
    <w:rsid w:val="27702CEA"/>
    <w:rsid w:val="278E0E5A"/>
    <w:rsid w:val="27CD0233"/>
    <w:rsid w:val="283830DC"/>
    <w:rsid w:val="284E5E91"/>
    <w:rsid w:val="28AD5878"/>
    <w:rsid w:val="28C57065"/>
    <w:rsid w:val="28C770F6"/>
    <w:rsid w:val="28CD5F1A"/>
    <w:rsid w:val="28EB1F84"/>
    <w:rsid w:val="28F5606D"/>
    <w:rsid w:val="2A1100C6"/>
    <w:rsid w:val="2AB71D51"/>
    <w:rsid w:val="2AC11AAE"/>
    <w:rsid w:val="2ADE7F6A"/>
    <w:rsid w:val="2B45743A"/>
    <w:rsid w:val="2C8E1915"/>
    <w:rsid w:val="2E271C28"/>
    <w:rsid w:val="2E3E22B3"/>
    <w:rsid w:val="2F124686"/>
    <w:rsid w:val="2F685A57"/>
    <w:rsid w:val="2F6B1FE9"/>
    <w:rsid w:val="30C154B5"/>
    <w:rsid w:val="30E028E1"/>
    <w:rsid w:val="317E4062"/>
    <w:rsid w:val="31BE01A6"/>
    <w:rsid w:val="35784CBC"/>
    <w:rsid w:val="35D02BA5"/>
    <w:rsid w:val="35E054DE"/>
    <w:rsid w:val="35EF1C9A"/>
    <w:rsid w:val="35F52289"/>
    <w:rsid w:val="36421CF5"/>
    <w:rsid w:val="36637EBD"/>
    <w:rsid w:val="36C02C1A"/>
    <w:rsid w:val="36D27D8D"/>
    <w:rsid w:val="36DF1167"/>
    <w:rsid w:val="36E27034"/>
    <w:rsid w:val="38096119"/>
    <w:rsid w:val="382F1DCE"/>
    <w:rsid w:val="383E3BD1"/>
    <w:rsid w:val="38DE012E"/>
    <w:rsid w:val="39157076"/>
    <w:rsid w:val="3A742699"/>
    <w:rsid w:val="3A8D6C4A"/>
    <w:rsid w:val="3ACB0D0D"/>
    <w:rsid w:val="3B170421"/>
    <w:rsid w:val="3B4B24FC"/>
    <w:rsid w:val="3CB7243C"/>
    <w:rsid w:val="3DDC56F4"/>
    <w:rsid w:val="3DDE45B1"/>
    <w:rsid w:val="3DFC7262"/>
    <w:rsid w:val="3E1C3502"/>
    <w:rsid w:val="3E88487C"/>
    <w:rsid w:val="3E9E4FF9"/>
    <w:rsid w:val="3EE80F60"/>
    <w:rsid w:val="3F203ED9"/>
    <w:rsid w:val="3F6A6C05"/>
    <w:rsid w:val="3FD9166E"/>
    <w:rsid w:val="402045AD"/>
    <w:rsid w:val="403C7A85"/>
    <w:rsid w:val="41D80D76"/>
    <w:rsid w:val="41DE690D"/>
    <w:rsid w:val="4223468F"/>
    <w:rsid w:val="425F1A84"/>
    <w:rsid w:val="42E06D32"/>
    <w:rsid w:val="43002781"/>
    <w:rsid w:val="43386225"/>
    <w:rsid w:val="43394E3A"/>
    <w:rsid w:val="450F618C"/>
    <w:rsid w:val="453673AB"/>
    <w:rsid w:val="461F5BAF"/>
    <w:rsid w:val="468477C0"/>
    <w:rsid w:val="46C706EC"/>
    <w:rsid w:val="470D6864"/>
    <w:rsid w:val="472E597E"/>
    <w:rsid w:val="488E4C9D"/>
    <w:rsid w:val="489E65E7"/>
    <w:rsid w:val="48E704DA"/>
    <w:rsid w:val="491E3B82"/>
    <w:rsid w:val="49396F88"/>
    <w:rsid w:val="49521DF7"/>
    <w:rsid w:val="49BD45E1"/>
    <w:rsid w:val="49BE5A77"/>
    <w:rsid w:val="4A0E4826"/>
    <w:rsid w:val="4A9B19DD"/>
    <w:rsid w:val="4B744305"/>
    <w:rsid w:val="4C043151"/>
    <w:rsid w:val="4C9B3C21"/>
    <w:rsid w:val="4CE11DC3"/>
    <w:rsid w:val="4D38012C"/>
    <w:rsid w:val="4D6D6D62"/>
    <w:rsid w:val="4D852E94"/>
    <w:rsid w:val="4D8C33FE"/>
    <w:rsid w:val="4DCB6336"/>
    <w:rsid w:val="4DCC5629"/>
    <w:rsid w:val="4DF30558"/>
    <w:rsid w:val="4DFA2A19"/>
    <w:rsid w:val="4E12358D"/>
    <w:rsid w:val="4E192EE4"/>
    <w:rsid w:val="4E26494C"/>
    <w:rsid w:val="4EF16DED"/>
    <w:rsid w:val="4F48561C"/>
    <w:rsid w:val="4F6B3034"/>
    <w:rsid w:val="4FA7250F"/>
    <w:rsid w:val="4FC84E27"/>
    <w:rsid w:val="508825A3"/>
    <w:rsid w:val="509727E6"/>
    <w:rsid w:val="50B94D10"/>
    <w:rsid w:val="51023978"/>
    <w:rsid w:val="51565B12"/>
    <w:rsid w:val="5184720E"/>
    <w:rsid w:val="519503D4"/>
    <w:rsid w:val="52035925"/>
    <w:rsid w:val="53670B95"/>
    <w:rsid w:val="55DA1B48"/>
    <w:rsid w:val="560F4542"/>
    <w:rsid w:val="56882F23"/>
    <w:rsid w:val="56CD1D6A"/>
    <w:rsid w:val="57266671"/>
    <w:rsid w:val="57BD6FD6"/>
    <w:rsid w:val="584B0697"/>
    <w:rsid w:val="5A516701"/>
    <w:rsid w:val="5B421396"/>
    <w:rsid w:val="5BC42CC1"/>
    <w:rsid w:val="5BC87CF7"/>
    <w:rsid w:val="5BCE2AF0"/>
    <w:rsid w:val="5CF90D64"/>
    <w:rsid w:val="5D20477F"/>
    <w:rsid w:val="5D652D23"/>
    <w:rsid w:val="5D8C60F9"/>
    <w:rsid w:val="5DA36927"/>
    <w:rsid w:val="5DC32E6C"/>
    <w:rsid w:val="5E9D7B9B"/>
    <w:rsid w:val="5EB160D1"/>
    <w:rsid w:val="5FDB5661"/>
    <w:rsid w:val="61E94B7F"/>
    <w:rsid w:val="624F23FA"/>
    <w:rsid w:val="629372B1"/>
    <w:rsid w:val="6295012C"/>
    <w:rsid w:val="648275DD"/>
    <w:rsid w:val="651925F1"/>
    <w:rsid w:val="657C7D98"/>
    <w:rsid w:val="66772075"/>
    <w:rsid w:val="66863951"/>
    <w:rsid w:val="67591C5B"/>
    <w:rsid w:val="675C1401"/>
    <w:rsid w:val="67F80D9E"/>
    <w:rsid w:val="68293EC4"/>
    <w:rsid w:val="68956952"/>
    <w:rsid w:val="68CB0E27"/>
    <w:rsid w:val="69074555"/>
    <w:rsid w:val="69D177F8"/>
    <w:rsid w:val="69D34437"/>
    <w:rsid w:val="6ACF1D7C"/>
    <w:rsid w:val="6ADC731B"/>
    <w:rsid w:val="6B4D1FC7"/>
    <w:rsid w:val="6C4B643E"/>
    <w:rsid w:val="6C960BD5"/>
    <w:rsid w:val="6C9A56E0"/>
    <w:rsid w:val="6D1B5B49"/>
    <w:rsid w:val="6D774AC9"/>
    <w:rsid w:val="6DF4331A"/>
    <w:rsid w:val="6E2039C3"/>
    <w:rsid w:val="6E9D32B2"/>
    <w:rsid w:val="6EBD1212"/>
    <w:rsid w:val="6FD17CFF"/>
    <w:rsid w:val="70291255"/>
    <w:rsid w:val="70FF55AB"/>
    <w:rsid w:val="71A130D0"/>
    <w:rsid w:val="71B42B40"/>
    <w:rsid w:val="71CF5657"/>
    <w:rsid w:val="739C1D3D"/>
    <w:rsid w:val="748D503C"/>
    <w:rsid w:val="749B318A"/>
    <w:rsid w:val="74A138CF"/>
    <w:rsid w:val="74F02341"/>
    <w:rsid w:val="75671CEE"/>
    <w:rsid w:val="765D692A"/>
    <w:rsid w:val="769C2B02"/>
    <w:rsid w:val="76AD475B"/>
    <w:rsid w:val="772B7FA1"/>
    <w:rsid w:val="775A3E3A"/>
    <w:rsid w:val="77EB5C21"/>
    <w:rsid w:val="78AB6682"/>
    <w:rsid w:val="791903FB"/>
    <w:rsid w:val="7988018F"/>
    <w:rsid w:val="79B31CB8"/>
    <w:rsid w:val="7A122D59"/>
    <w:rsid w:val="7A1A3ADE"/>
    <w:rsid w:val="7B7D2454"/>
    <w:rsid w:val="7B9003DA"/>
    <w:rsid w:val="7BCC7EFC"/>
    <w:rsid w:val="7C2733A5"/>
    <w:rsid w:val="7D2D4D93"/>
    <w:rsid w:val="7D307DB8"/>
    <w:rsid w:val="7D513331"/>
    <w:rsid w:val="7DA13DC0"/>
    <w:rsid w:val="7E3B222A"/>
    <w:rsid w:val="7E904EA3"/>
    <w:rsid w:val="7ECF3FCA"/>
    <w:rsid w:val="7EE06114"/>
    <w:rsid w:val="7EFC0806"/>
    <w:rsid w:val="7FA018E5"/>
    <w:rsid w:val="7FBE01F5"/>
    <w:rsid w:val="7FD8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4"/>
    <w:qFormat/>
    <w:uiPriority w:val="0"/>
    <w:pPr>
      <w:ind w:left="100" w:leftChars="2500"/>
    </w:pPr>
  </w:style>
  <w:style w:type="paragraph" w:styleId="4">
    <w:name w:val="Body Text Indent 2"/>
    <w:basedOn w:val="1"/>
    <w:unhideWhenUsed/>
    <w:qFormat/>
    <w:uiPriority w:val="99"/>
    <w:pPr>
      <w:spacing w:after="120" w:line="480" w:lineRule="auto"/>
      <w:ind w:left="420" w:leftChars="200"/>
    </w:p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index heading"/>
    <w:basedOn w:val="1"/>
    <w:next w:val="1"/>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日期 Char"/>
    <w:link w:val="3"/>
    <w:qFormat/>
    <w:uiPriority w:val="0"/>
    <w:rPr>
      <w:kern w:val="2"/>
      <w:sz w:val="21"/>
      <w:szCs w:val="24"/>
    </w:rPr>
  </w:style>
  <w:style w:type="character" w:customStyle="1" w:styleId="15">
    <w:name w:val="批注框文本 Char"/>
    <w:link w:val="5"/>
    <w:qFormat/>
    <w:uiPriority w:val="0"/>
    <w:rPr>
      <w:kern w:val="2"/>
      <w:sz w:val="18"/>
      <w:szCs w:val="18"/>
    </w:rPr>
  </w:style>
  <w:style w:type="character" w:customStyle="1" w:styleId="16">
    <w:name w:val="页脚 Char"/>
    <w:link w:val="6"/>
    <w:qFormat/>
    <w:uiPriority w:val="99"/>
    <w:rPr>
      <w:kern w:val="2"/>
      <w:sz w:val="18"/>
      <w:szCs w:val="18"/>
    </w:rPr>
  </w:style>
  <w:style w:type="character" w:customStyle="1" w:styleId="17">
    <w:name w:val="页眉 Char"/>
    <w:link w:val="7"/>
    <w:qFormat/>
    <w:uiPriority w:val="0"/>
    <w:rPr>
      <w:kern w:val="2"/>
      <w:sz w:val="18"/>
      <w:szCs w:val="18"/>
    </w:rPr>
  </w:style>
  <w:style w:type="paragraph" w:customStyle="1" w:styleId="18">
    <w:name w:val="新格式表"/>
    <w:basedOn w:val="1"/>
    <w:qFormat/>
    <w:uiPriority w:val="0"/>
    <w:pPr>
      <w:adjustRightInd w:val="0"/>
      <w:snapToGrid w:val="0"/>
      <w:spacing w:line="0" w:lineRule="atLeast"/>
      <w:jc w:val="center"/>
    </w:pPr>
    <w:rPr>
      <w:color w:val="000000"/>
      <w:kern w:val="0"/>
      <w:szCs w:val="21"/>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qFormat/>
    <w:uiPriority w:val="34"/>
    <w:pPr>
      <w:ind w:firstLine="420" w:firstLineChars="200"/>
    </w:pPr>
  </w:style>
  <w:style w:type="paragraph" w:customStyle="1" w:styleId="21">
    <w:name w:val="样式2"/>
    <w:basedOn w:val="1"/>
    <w:qFormat/>
    <w:uiPriority w:val="0"/>
    <w:pPr>
      <w:tabs>
        <w:tab w:val="left" w:pos="7680"/>
      </w:tabs>
      <w:adjustRightInd w:val="0"/>
      <w:spacing w:line="360" w:lineRule="atLeast"/>
      <w:ind w:firstLine="640" w:firstLineChars="200"/>
      <w:textAlignment w:val="baseline"/>
    </w:pPr>
    <w:rPr>
      <w:rFonts w:ascii="仿宋" w:hAnsi="仿宋" w:eastAsia="仿宋_GB2312"/>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2198</Words>
  <Characters>2512</Characters>
  <Lines>16</Lines>
  <Paragraphs>4</Paragraphs>
  <TotalTime>0</TotalTime>
  <ScaleCrop>false</ScaleCrop>
  <LinksUpToDate>false</LinksUpToDate>
  <CharactersWithSpaces>2520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2017-07-14T03:44:00Z</dcterms:created>
  <dc:creator>User</dc:creator>
  <cp:lastModifiedBy>个栗</cp:lastModifiedBy>
  <cp:lastPrinted>2024-12-23T07:42:00Z</cp:lastPrinted>
  <dcterms:modified xsi:type="dcterms:W3CDTF">2025-03-12T02:47:57Z</dcterms:modified>
  <dc:title>连云港高新区技术产业开发区党工委</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25ECC43763EC4FE490B8C51305C223C0_13</vt:lpwstr>
  </property>
</Properties>
</file>