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3C13">
      <w:pPr>
        <w:pStyle w:val="20"/>
        <w:keepNext w:val="0"/>
        <w:keepLines w:val="0"/>
        <w:pageBreakBefore w:val="0"/>
        <w:kinsoku/>
        <w:wordWrap w:val="0"/>
        <w:overflowPunct/>
        <w:topLinePunct w:val="0"/>
        <w:autoSpaceDE/>
        <w:autoSpaceDN/>
        <w:bidi w:val="0"/>
        <w:spacing w:line="540" w:lineRule="exact"/>
        <w:jc w:val="both"/>
        <w:textAlignment w:val="auto"/>
        <w:rPr>
          <w:color w:val="auto"/>
        </w:rPr>
      </w:pPr>
    </w:p>
    <w:p w14:paraId="196815EC">
      <w:pPr>
        <w:pStyle w:val="20"/>
        <w:keepNext w:val="0"/>
        <w:keepLines w:val="0"/>
        <w:pageBreakBefore w:val="0"/>
        <w:kinsoku/>
        <w:wordWrap w:val="0"/>
        <w:overflowPunct/>
        <w:topLinePunct w:val="0"/>
        <w:autoSpaceDE/>
        <w:autoSpaceDN/>
        <w:bidi w:val="0"/>
        <w:spacing w:line="540" w:lineRule="exact"/>
        <w:textAlignment w:val="auto"/>
        <w:rPr>
          <w:color w:val="auto"/>
        </w:rPr>
      </w:pPr>
    </w:p>
    <w:p w14:paraId="2F058D4A">
      <w:pPr>
        <w:keepNext w:val="0"/>
        <w:keepLines w:val="0"/>
        <w:pageBreakBefore w:val="0"/>
        <w:kinsoku/>
        <w:wordWrap w:val="0"/>
        <w:overflowPunct/>
        <w:topLinePunct w:val="0"/>
        <w:autoSpaceDE/>
        <w:autoSpaceDN/>
        <w:bidi w:val="0"/>
        <w:spacing w:line="540" w:lineRule="exact"/>
        <w:jc w:val="right"/>
        <w:textAlignment w:val="auto"/>
        <w:rPr>
          <w:color w:val="auto"/>
          <w:sz w:val="30"/>
          <w:szCs w:val="30"/>
          <w:highlight w:val="none"/>
        </w:rPr>
      </w:pPr>
      <w:r>
        <w:rPr>
          <w:rFonts w:hint="eastAsia" w:ascii="楷体" w:hAnsi="楷体" w:eastAsia="楷体" w:cs="楷体"/>
          <w:color w:val="auto"/>
          <w:sz w:val="30"/>
          <w:szCs w:val="30"/>
          <w:highlight w:val="none"/>
        </w:rPr>
        <w:t>连高环表复</w:t>
      </w:r>
      <w:r>
        <w:rPr>
          <w:rFonts w:eastAsia="楷体"/>
          <w:color w:val="auto"/>
          <w:sz w:val="30"/>
          <w:szCs w:val="30"/>
          <w:highlight w:val="none"/>
        </w:rPr>
        <w:t>〔202</w:t>
      </w:r>
      <w:r>
        <w:rPr>
          <w:rFonts w:hint="eastAsia" w:eastAsia="楷体"/>
          <w:color w:val="auto"/>
          <w:sz w:val="30"/>
          <w:szCs w:val="30"/>
          <w:highlight w:val="none"/>
          <w:lang w:val="en-US" w:eastAsia="zh-CN"/>
        </w:rPr>
        <w:t>4</w:t>
      </w:r>
      <w:r>
        <w:rPr>
          <w:rFonts w:eastAsia="楷体"/>
          <w:color w:val="auto"/>
          <w:sz w:val="30"/>
          <w:szCs w:val="30"/>
          <w:highlight w:val="none"/>
        </w:rPr>
        <w:t>〕</w:t>
      </w:r>
      <w:r>
        <w:rPr>
          <w:rFonts w:hint="eastAsia" w:eastAsia="楷体"/>
          <w:color w:val="auto"/>
          <w:sz w:val="30"/>
          <w:szCs w:val="30"/>
          <w:highlight w:val="none"/>
          <w:lang w:val="en-US" w:eastAsia="zh-CN"/>
        </w:rPr>
        <w:t>11</w:t>
      </w:r>
      <w:r>
        <w:rPr>
          <w:rFonts w:eastAsia="楷体"/>
          <w:color w:val="auto"/>
          <w:sz w:val="30"/>
          <w:szCs w:val="30"/>
          <w:highlight w:val="none"/>
        </w:rPr>
        <w:t>号</w:t>
      </w:r>
    </w:p>
    <w:p w14:paraId="0B4A397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eastAsia="方正小标宋简体"/>
          <w:bCs/>
          <w:color w:val="auto"/>
          <w:sz w:val="44"/>
          <w:szCs w:val="44"/>
          <w:lang w:val="en-US" w:eastAsia="zh-CN"/>
        </w:rPr>
      </w:pPr>
      <w:r>
        <w:rPr>
          <w:rFonts w:eastAsia="方正小标宋简体"/>
          <w:bCs/>
          <w:color w:val="auto"/>
          <w:sz w:val="44"/>
          <w:szCs w:val="44"/>
        </w:rPr>
        <w:t>关于对</w:t>
      </w:r>
      <w:r>
        <w:rPr>
          <w:rFonts w:hint="eastAsia" w:eastAsia="方正小标宋简体"/>
          <w:bCs/>
          <w:color w:val="auto"/>
          <w:sz w:val="44"/>
          <w:szCs w:val="44"/>
          <w:lang w:eastAsia="zh-CN"/>
        </w:rPr>
        <w:t>江苏鹰游纺机有限公司</w:t>
      </w:r>
      <w:r>
        <w:rPr>
          <w:rFonts w:hint="eastAsia" w:eastAsia="方正小标宋简体"/>
          <w:bCs/>
          <w:color w:val="auto"/>
          <w:sz w:val="44"/>
          <w:szCs w:val="44"/>
          <w:lang w:val="en-US" w:eastAsia="zh-CN"/>
        </w:rPr>
        <w:t>纺织专用设备和高性能纤维设备自动化涂装生产线技改项目</w:t>
      </w:r>
    </w:p>
    <w:p w14:paraId="6F01B6E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eastAsia="方正小标宋简体"/>
          <w:bCs/>
          <w:color w:val="auto"/>
          <w:sz w:val="44"/>
          <w:szCs w:val="44"/>
        </w:rPr>
      </w:pPr>
      <w:r>
        <w:rPr>
          <w:rFonts w:eastAsia="方正小标宋简体"/>
          <w:bCs/>
          <w:color w:val="auto"/>
          <w:sz w:val="44"/>
          <w:szCs w:val="44"/>
        </w:rPr>
        <w:t>环境影响报告表的批复</w:t>
      </w:r>
    </w:p>
    <w:p w14:paraId="77DB3DB2">
      <w:pPr>
        <w:keepNext w:val="0"/>
        <w:keepLines w:val="0"/>
        <w:pageBreakBefore w:val="0"/>
        <w:kinsoku/>
        <w:wordWrap w:val="0"/>
        <w:overflowPunct/>
        <w:topLinePunct w:val="0"/>
        <w:autoSpaceDE/>
        <w:autoSpaceDN/>
        <w:bidi w:val="0"/>
        <w:adjustRightInd w:val="0"/>
        <w:spacing w:line="540" w:lineRule="exact"/>
        <w:ind w:firstLine="640" w:firstLineChars="200"/>
        <w:textAlignment w:val="auto"/>
        <w:rPr>
          <w:rFonts w:eastAsia="仿宋_GB2312"/>
          <w:color w:val="auto"/>
          <w:sz w:val="32"/>
          <w:szCs w:val="32"/>
        </w:rPr>
      </w:pPr>
    </w:p>
    <w:p w14:paraId="2B2B4B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江苏鹰游纺机有限公司：</w:t>
      </w:r>
    </w:p>
    <w:p w14:paraId="641E234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你公司委托江苏龙展环保科技有限公司编制的《江苏鹰游纺机有限公司纺织专用设备和高性能纤维设备自动化涂装生产线技改项目环境影响报告表》（项目代码：2304-320772-89-02-264851，以下简称《报告表》）及相关资料收悉。经研究，批复如下：</w:t>
      </w:r>
    </w:p>
    <w:p w14:paraId="6775485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一、项目位于连云港高新区海州工业园</w:t>
      </w:r>
      <w:r>
        <w:rPr>
          <w:rFonts w:hint="eastAsia" w:ascii="Times New Roman" w:hAnsi="Times New Roman" w:eastAsia="仿宋_GB2312" w:cs="Times New Roman"/>
          <w:color w:val="auto"/>
          <w:sz w:val="32"/>
          <w:szCs w:val="32"/>
          <w:highlight w:val="none"/>
          <w:lang w:val="en-US" w:eastAsia="zh-CN"/>
        </w:rPr>
        <w:t>振兴路1号。技改项目总投资80万元</w:t>
      </w:r>
      <w:r>
        <w:rPr>
          <w:rFonts w:hint="eastAsia" w:eastAsia="仿宋_GB2312" w:cs="Times New Roman"/>
          <w:color w:val="auto"/>
          <w:sz w:val="32"/>
          <w:szCs w:val="32"/>
          <w:highlight w:val="none"/>
          <w:lang w:val="en-US" w:eastAsia="zh-CN"/>
        </w:rPr>
        <w:t>。改造后原产能、生产规模不变，其中</w:t>
      </w:r>
      <w:r>
        <w:rPr>
          <w:rFonts w:hint="eastAsia" w:ascii="Times New Roman" w:hAnsi="Times New Roman" w:eastAsia="仿宋_GB2312" w:cs="Times New Roman"/>
          <w:color w:val="auto"/>
          <w:sz w:val="32"/>
          <w:szCs w:val="32"/>
          <w:highlight w:val="none"/>
          <w:lang w:val="en-US" w:eastAsia="zh-CN"/>
        </w:rPr>
        <w:t>20套高性能碳纤维设备涂装材料</w:t>
      </w:r>
      <w:r>
        <w:rPr>
          <w:rFonts w:hint="eastAsia" w:eastAsia="仿宋_GB2312" w:cs="Times New Roman"/>
          <w:color w:val="auto"/>
          <w:sz w:val="32"/>
          <w:szCs w:val="32"/>
          <w:highlight w:val="none"/>
          <w:lang w:val="en-US" w:eastAsia="zh-CN"/>
        </w:rPr>
        <w:t>采用符合国家标准的</w:t>
      </w:r>
      <w:r>
        <w:rPr>
          <w:rFonts w:hint="eastAsia" w:ascii="Times New Roman" w:hAnsi="Times New Roman" w:eastAsia="仿宋_GB2312" w:cs="Times New Roman"/>
          <w:color w:val="auto"/>
          <w:sz w:val="32"/>
          <w:szCs w:val="32"/>
          <w:highlight w:val="none"/>
          <w:lang w:val="en-US" w:eastAsia="zh-CN"/>
        </w:rPr>
        <w:t>低挥发性溶剂型涂料，</w:t>
      </w:r>
      <w:r>
        <w:rPr>
          <w:rFonts w:hint="eastAsia" w:eastAsia="仿宋_GB2312" w:cs="Times New Roman"/>
          <w:color w:val="auto"/>
          <w:sz w:val="32"/>
          <w:szCs w:val="32"/>
          <w:highlight w:val="none"/>
          <w:lang w:val="en-US" w:eastAsia="zh-CN"/>
        </w:rPr>
        <w:t>80套高性能碳纤维设备、2900套</w:t>
      </w:r>
      <w:r>
        <w:rPr>
          <w:rFonts w:hint="eastAsia" w:ascii="Times New Roman" w:hAnsi="Times New Roman" w:eastAsia="仿宋_GB2312" w:cs="Times New Roman"/>
          <w:color w:val="auto"/>
          <w:sz w:val="32"/>
          <w:szCs w:val="32"/>
          <w:highlight w:val="none"/>
          <w:lang w:val="en-US" w:eastAsia="zh-CN"/>
        </w:rPr>
        <w:t>纺织专用设备涂装</w:t>
      </w:r>
      <w:r>
        <w:rPr>
          <w:rFonts w:hint="eastAsia" w:eastAsia="仿宋_GB2312" w:cs="Times New Roman"/>
          <w:color w:val="auto"/>
          <w:sz w:val="32"/>
          <w:szCs w:val="32"/>
          <w:highlight w:val="none"/>
          <w:lang w:val="en-US" w:eastAsia="zh-CN"/>
        </w:rPr>
        <w:t>材料继续使用符合国家标准的</w:t>
      </w:r>
      <w:r>
        <w:rPr>
          <w:rFonts w:hint="eastAsia" w:ascii="Times New Roman" w:hAnsi="Times New Roman" w:eastAsia="仿宋_GB2312" w:cs="Times New Roman"/>
          <w:color w:val="auto"/>
          <w:sz w:val="32"/>
          <w:szCs w:val="32"/>
          <w:highlight w:val="none"/>
          <w:lang w:val="en-US" w:eastAsia="zh-CN"/>
        </w:rPr>
        <w:t>水性漆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本项目依托鹰游纺机公司现有表面处理车间的基础设施</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喷漆系统</w:t>
      </w:r>
      <w:r>
        <w:rPr>
          <w:rFonts w:hint="eastAsia" w:eastAsia="仿宋_GB2312" w:cs="Times New Roman"/>
          <w:color w:val="auto"/>
          <w:sz w:val="32"/>
          <w:szCs w:val="32"/>
          <w:highlight w:val="none"/>
          <w:lang w:val="en-US" w:eastAsia="zh-CN"/>
        </w:rPr>
        <w:t>及</w:t>
      </w:r>
      <w:r>
        <w:rPr>
          <w:rFonts w:hint="eastAsia" w:ascii="Times New Roman" w:hAnsi="Times New Roman" w:eastAsia="仿宋_GB2312" w:cs="Times New Roman"/>
          <w:color w:val="auto"/>
          <w:sz w:val="32"/>
          <w:szCs w:val="32"/>
          <w:highlight w:val="none"/>
          <w:lang w:val="en-US" w:eastAsia="zh-CN"/>
        </w:rPr>
        <w:t>废气处理设备</w:t>
      </w:r>
      <w:r>
        <w:rPr>
          <w:rFonts w:hint="eastAsia" w:eastAsia="仿宋_GB2312"/>
          <w:color w:val="auto"/>
          <w:sz w:val="32"/>
          <w:szCs w:val="32"/>
          <w:highlight w:val="none"/>
          <w:lang w:val="en-US" w:eastAsia="zh-CN"/>
        </w:rPr>
        <w:t>。</w:t>
      </w:r>
    </w:p>
    <w:p w14:paraId="3497B3A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二、根据《报告表》的论述及评价结论，在落实《报告表》中提出的各项污染防治、风险防范措施的前提下，从生态环境角度考虑，同意你公司按《报告表》所述内容进行</w:t>
      </w:r>
      <w:r>
        <w:rPr>
          <w:rFonts w:hint="eastAsia" w:eastAsia="仿宋_GB2312"/>
          <w:color w:val="auto"/>
          <w:sz w:val="32"/>
          <w:szCs w:val="32"/>
          <w:highlight w:val="none"/>
          <w:lang w:val="en-US" w:eastAsia="zh-CN"/>
        </w:rPr>
        <w:t>技术改造</w:t>
      </w:r>
      <w:r>
        <w:rPr>
          <w:rFonts w:hint="eastAsia" w:eastAsia="仿宋_GB2312"/>
          <w:color w:val="auto"/>
          <w:sz w:val="32"/>
          <w:szCs w:val="32"/>
          <w:lang w:val="en-US" w:eastAsia="zh-CN"/>
        </w:rPr>
        <w:t>。</w:t>
      </w:r>
    </w:p>
    <w:p w14:paraId="615DBF4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三、在项目设计、建设和</w:t>
      </w:r>
      <w:r>
        <w:rPr>
          <w:rFonts w:hint="eastAsia" w:eastAsia="仿宋_GB2312"/>
          <w:color w:val="auto"/>
          <w:sz w:val="32"/>
          <w:szCs w:val="32"/>
          <w:highlight w:val="none"/>
          <w:lang w:val="en-US" w:eastAsia="zh-CN"/>
        </w:rPr>
        <w:t>生产的</w:t>
      </w:r>
      <w:r>
        <w:rPr>
          <w:rFonts w:hint="eastAsia" w:eastAsia="仿宋_GB2312"/>
          <w:color w:val="auto"/>
          <w:sz w:val="32"/>
          <w:szCs w:val="32"/>
          <w:lang w:val="en-US" w:eastAsia="zh-CN"/>
        </w:rPr>
        <w:t>环境管理中，你公司须全过程贯彻清洁生产理念，落实《报告表》中提出的各项污染防治措施，确保各类污染物稳定达标排放，并须着重落实以下要求：</w:t>
      </w:r>
    </w:p>
    <w:p w14:paraId="7424289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eastAsia="zh-CN"/>
        </w:rPr>
        <w:t>（一）</w:t>
      </w:r>
      <w:r>
        <w:rPr>
          <w:rFonts w:eastAsia="仿宋_GB2312"/>
          <w:color w:val="auto"/>
          <w:sz w:val="32"/>
          <w:szCs w:val="32"/>
        </w:rPr>
        <w:t>落实废气污染防治措施</w:t>
      </w:r>
      <w:r>
        <w:rPr>
          <w:rFonts w:hint="eastAsia" w:eastAsia="仿宋_GB2312"/>
          <w:color w:val="auto"/>
          <w:sz w:val="32"/>
          <w:szCs w:val="32"/>
          <w:lang w:eastAsia="zh-CN"/>
        </w:rPr>
        <w:t>。严格落实《报告表》提出的各项废气污染防治措施，确保废气的收集、处理效率达到《报告表》要求。</w:t>
      </w:r>
      <w:r>
        <w:rPr>
          <w:rFonts w:hint="eastAsia" w:ascii="Times New Roman" w:hAnsi="Times New Roman" w:eastAsia="仿宋_GB2312" w:cs="Times New Roman"/>
          <w:color w:val="auto"/>
          <w:sz w:val="32"/>
          <w:szCs w:val="32"/>
          <w:lang w:eastAsia="zh-CN"/>
        </w:rPr>
        <w:t>项目大件、小件喷漆废气分别经各自的“二级过滤棉+活性炭吸附脱附+催化燃烧”设施处理达标后，通过不低于</w:t>
      </w:r>
      <w:r>
        <w:rPr>
          <w:rFonts w:hint="eastAsia" w:ascii="Times New Roman" w:hAnsi="Times New Roman" w:eastAsia="仿宋_GB2312" w:cs="Times New Roman"/>
          <w:color w:val="auto"/>
          <w:sz w:val="32"/>
          <w:szCs w:val="32"/>
          <w:lang w:val="en-US" w:eastAsia="zh-CN"/>
        </w:rPr>
        <w:t>15米高排气筒</w:t>
      </w:r>
      <w:r>
        <w:rPr>
          <w:rFonts w:hint="eastAsia" w:ascii="Times New Roman" w:hAnsi="Times New Roman" w:eastAsia="仿宋_GB2312" w:cs="Times New Roman"/>
          <w:color w:val="auto"/>
          <w:sz w:val="32"/>
          <w:szCs w:val="32"/>
          <w:lang w:eastAsia="zh-CN"/>
        </w:rPr>
        <w:t>排放</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DA003、DA004</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烘干工序</w:t>
      </w:r>
      <w:r>
        <w:rPr>
          <w:rFonts w:hint="eastAsia" w:ascii="Times New Roman" w:hAnsi="Times New Roman" w:eastAsia="仿宋_GB2312" w:cs="Times New Roman"/>
          <w:color w:val="auto"/>
          <w:sz w:val="32"/>
          <w:szCs w:val="32"/>
          <w:lang w:eastAsia="zh-CN"/>
        </w:rPr>
        <w:t>天然气燃烧废气经不低于</w:t>
      </w:r>
      <w:r>
        <w:rPr>
          <w:rFonts w:hint="eastAsia" w:ascii="Times New Roman" w:hAnsi="Times New Roman" w:eastAsia="仿宋_GB2312" w:cs="Times New Roman"/>
          <w:color w:val="auto"/>
          <w:sz w:val="32"/>
          <w:szCs w:val="32"/>
          <w:lang w:val="en-US" w:eastAsia="zh-CN"/>
        </w:rPr>
        <w:t>15米高排气筒排放</w:t>
      </w:r>
      <w:r>
        <w:rPr>
          <w:rFonts w:hint="eastAsia" w:eastAsia="仿宋_GB2312" w:cs="Times New Roman"/>
          <w:color w:val="auto"/>
          <w:sz w:val="32"/>
          <w:szCs w:val="32"/>
          <w:lang w:val="en-US" w:eastAsia="zh-CN"/>
        </w:rPr>
        <w:t>（DA005-DA007）；催化燃烧产生的</w:t>
      </w:r>
      <w:r>
        <w:rPr>
          <w:rFonts w:hint="eastAsia" w:ascii="Times New Roman" w:hAnsi="Times New Roman" w:eastAsia="仿宋_GB2312" w:cs="Times New Roman"/>
          <w:color w:val="auto"/>
          <w:sz w:val="32"/>
          <w:szCs w:val="32"/>
          <w:highlight w:val="none"/>
          <w:lang w:eastAsia="zh-CN"/>
        </w:rPr>
        <w:t>废气通过</w:t>
      </w:r>
      <w:r>
        <w:rPr>
          <w:rFonts w:hint="eastAsia" w:ascii="Times New Roman" w:hAnsi="Times New Roman" w:eastAsia="仿宋_GB2312" w:cs="Times New Roman"/>
          <w:color w:val="auto"/>
          <w:sz w:val="32"/>
          <w:szCs w:val="32"/>
          <w:lang w:eastAsia="zh-CN"/>
        </w:rPr>
        <w:t>不低于</w:t>
      </w:r>
      <w:r>
        <w:rPr>
          <w:rFonts w:hint="eastAsia" w:ascii="Times New Roman" w:hAnsi="Times New Roman" w:eastAsia="仿宋_GB2312" w:cs="Times New Roman"/>
          <w:color w:val="auto"/>
          <w:sz w:val="32"/>
          <w:szCs w:val="32"/>
          <w:lang w:val="en-US" w:eastAsia="zh-CN"/>
        </w:rPr>
        <w:t>15米高排气筒排放</w:t>
      </w:r>
      <w:r>
        <w:rPr>
          <w:rFonts w:hint="eastAsia" w:eastAsia="仿宋_GB2312" w:cs="Times New Roman"/>
          <w:color w:val="auto"/>
          <w:sz w:val="32"/>
          <w:szCs w:val="32"/>
          <w:lang w:val="en-US" w:eastAsia="zh-CN"/>
        </w:rPr>
        <w:t>（DA008、DA009）</w:t>
      </w:r>
      <w:r>
        <w:rPr>
          <w:rFonts w:hint="eastAsia" w:ascii="Times New Roman" w:hAnsi="Times New Roman" w:eastAsia="仿宋_GB2312" w:cs="Times New Roman"/>
          <w:color w:val="auto"/>
          <w:sz w:val="32"/>
          <w:szCs w:val="32"/>
          <w:lang w:val="en-US" w:eastAsia="zh-CN"/>
        </w:rPr>
        <w:t>。按照“应收尽收、分质收集”原则，加强源头控制及过程控制，对含有VOCs物料的储存、转移和工艺过程等无组织排放源全部采用密闭化，喷漆房保持负压状态，保证废气收集效率，降低无组织废气产生量及对外环境的影响。</w:t>
      </w:r>
    </w:p>
    <w:p w14:paraId="4E70D81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highlight w:val="none"/>
          <w:lang w:val="en-US" w:eastAsia="zh-CN"/>
        </w:rPr>
      </w:pPr>
      <w:r>
        <w:rPr>
          <w:rFonts w:hint="eastAsia" w:eastAsia="仿宋_GB2312"/>
          <w:color w:val="auto"/>
          <w:sz w:val="32"/>
          <w:szCs w:val="32"/>
          <w:lang w:val="en-US" w:eastAsia="zh-CN"/>
        </w:rPr>
        <w:t>喷漆线产生的颗粒物、挥发性有机物，催化燃烧产生的颗粒物、二氧化硫、氮氧化物执行《工业涂装工序大气污染物排放标准》（DB32/4439-2022）中相关标准限值；烘干工序天然气燃烧产生的颗粒物、二氧化硫和氮氧化物排放执行《工业炉窑大气污染物排放标准》（DB32/3728-2020）中相关标准限值；厂区内挥发性有机物执行《工业涂装工序大气污染物排放标准》（DB32/4439-2022）中表3标准限值；厂界</w:t>
      </w:r>
      <w:r>
        <w:rPr>
          <w:rFonts w:hint="eastAsia" w:eastAsia="仿宋_GB2312"/>
          <w:color w:val="auto"/>
          <w:sz w:val="32"/>
          <w:szCs w:val="32"/>
          <w:highlight w:val="none"/>
          <w:lang w:val="en-US" w:eastAsia="zh-CN"/>
        </w:rPr>
        <w:t>颗粒物、二氧化硫、氮氧化物、挥发性有机物执行《大气污染物综合排放标准》（DB32/4041-2021）表3标准限值。</w:t>
      </w:r>
    </w:p>
    <w:p w14:paraId="770B991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（二）加强水污染防治。按“雨污分流、分质处理”原则设计、建设和完善厂区给排水系统，落实地下水、土壤污染防治措施。项目无工艺废水产生，调配现有员工，不新增生活污水。</w:t>
      </w:r>
    </w:p>
    <w:p w14:paraId="2960E27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（三）加强噪声污染防治。按《报告表》要求，加强运行期管理，选用低噪声设备、噪声源合理布局，</w:t>
      </w:r>
      <w:r>
        <w:rPr>
          <w:rFonts w:hint="eastAsia" w:eastAsia="仿宋_GB2312"/>
          <w:color w:val="auto"/>
          <w:sz w:val="32"/>
          <w:szCs w:val="32"/>
          <w:highlight w:val="none"/>
          <w:lang w:val="en-US" w:eastAsia="zh-CN"/>
        </w:rPr>
        <w:t>通过</w:t>
      </w:r>
      <w:r>
        <w:rPr>
          <w:rFonts w:hint="eastAsia" w:eastAsia="仿宋_GB2312"/>
          <w:color w:val="auto"/>
          <w:sz w:val="32"/>
          <w:szCs w:val="32"/>
          <w:lang w:val="en-US" w:eastAsia="zh-CN"/>
        </w:rPr>
        <w:t>建筑物隔声、设置减振等有效降噪措施，确保厂界噪声达到《工业企业厂界环境噪声排放标准》（GB12348-2008）2类标准。</w:t>
      </w:r>
    </w:p>
    <w:p w14:paraId="53195FE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（四）严格落实固体废物污染防治措施。项目须按“资源化、减量化、无害化”的处置原则，落实固体废物的收集、贮存和处置措施，做好固体废物全过程</w:t>
      </w:r>
      <w:r>
        <w:rPr>
          <w:rFonts w:hint="eastAsia" w:ascii="Times New Roman" w:hAnsi="Times New Roman" w:eastAsia="仿宋_GB2312" w:cs="Times New Roman"/>
          <w:color w:val="auto"/>
          <w:sz w:val="32"/>
          <w:szCs w:val="32"/>
          <w:lang w:val="en-US" w:eastAsia="zh-CN"/>
        </w:rPr>
        <w:t>管理，确保不产生二次污染。废过滤棉、废包装桶（水性漆、油漆、稀释剂、固化剂）、漆渣、废活性炭、废催化剂等暂存在危废库。废包装桶（水性漆）由厂家回收；废催化剂、废包装桶（油漆、稀释剂、固化剂）、废过滤棉、漆渣、废活性炭委托具有危险废物处理资质的单位处理。</w:t>
      </w:r>
      <w:r>
        <w:rPr>
          <w:rFonts w:hint="eastAsia" w:eastAsia="仿宋_GB2312"/>
          <w:color w:val="auto"/>
          <w:sz w:val="32"/>
          <w:szCs w:val="32"/>
          <w:lang w:val="en-US" w:eastAsia="zh-CN"/>
        </w:rPr>
        <w:t>危险废物贮存执行《危险废物贮存污染控制标准》（GB18597-2023）中的相关规定。危险废物的转移须严格按照《危险废物转移管理办法》执行。</w:t>
      </w:r>
    </w:p>
    <w:p w14:paraId="78C3A83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（五）严格落实《报告表》中提出的土壤和地下水污染防治措施，实施分区防渗，对重点防渗区、一般防渗区和简单防渗区等采取相应等级的防渗措施。</w:t>
      </w:r>
    </w:p>
    <w:p w14:paraId="569BD14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（六）按《江苏省排污口设置及规范化整治管理办法》</w:t>
      </w:r>
      <w:r>
        <w:rPr>
          <w:rFonts w:hint="eastAsia" w:eastAsia="仿宋_GB2312"/>
          <w:color w:val="auto"/>
          <w:sz w:val="32"/>
          <w:szCs w:val="32"/>
          <w:highlight w:val="none"/>
          <w:lang w:val="en-US" w:eastAsia="zh-CN"/>
        </w:rPr>
        <w:t>及《连云港市固定污染源自动监控管理办法(试行)》要求设置各类</w:t>
      </w:r>
      <w:r>
        <w:rPr>
          <w:rFonts w:hint="eastAsia" w:eastAsia="仿宋_GB2312"/>
          <w:color w:val="auto"/>
          <w:sz w:val="32"/>
          <w:szCs w:val="32"/>
          <w:lang w:val="en-US" w:eastAsia="zh-CN"/>
        </w:rPr>
        <w:t>排污口、标志及自动监控系统，</w:t>
      </w:r>
      <w:r>
        <w:rPr>
          <w:rFonts w:hint="eastAsia" w:eastAsia="仿宋_GB2312"/>
          <w:color w:val="auto"/>
          <w:sz w:val="32"/>
          <w:szCs w:val="32"/>
          <w:highlight w:val="none"/>
          <w:lang w:val="en-US" w:eastAsia="zh-CN"/>
        </w:rPr>
        <w:t>项目喷</w:t>
      </w:r>
      <w:bookmarkStart w:id="0" w:name="_GoBack"/>
      <w:bookmarkEnd w:id="0"/>
      <w:r>
        <w:rPr>
          <w:rFonts w:hint="eastAsia" w:eastAsia="仿宋_GB2312"/>
          <w:color w:val="auto"/>
          <w:sz w:val="32"/>
          <w:szCs w:val="32"/>
          <w:highlight w:val="none"/>
          <w:lang w:val="en-US" w:eastAsia="zh-CN"/>
        </w:rPr>
        <w:t>漆线废气安装在线监测系统，实时监测包括挥发性有机物在内的主要特征污染物，</w:t>
      </w:r>
      <w:r>
        <w:rPr>
          <w:rFonts w:hint="eastAsia" w:eastAsia="仿宋_GB2312"/>
          <w:color w:val="auto"/>
          <w:sz w:val="32"/>
          <w:szCs w:val="32"/>
          <w:lang w:val="en-US" w:eastAsia="zh-CN"/>
        </w:rPr>
        <w:t>监测数据与当地生态环境部门联网。按照《报告表》提出的环境管理与监测计划实施日常环境管理与监测。</w:t>
      </w:r>
    </w:p>
    <w:p w14:paraId="67CAF06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b/>
          <w:bCs/>
          <w:color w:val="auto"/>
          <w:sz w:val="32"/>
          <w:szCs w:val="32"/>
          <w:lang w:val="en-US" w:eastAsia="zh-CN"/>
        </w:rPr>
      </w:pPr>
      <w:r>
        <w:rPr>
          <w:rFonts w:hint="eastAsia" w:eastAsia="仿宋_GB2312"/>
          <w:color w:val="auto"/>
          <w:sz w:val="32"/>
          <w:szCs w:val="32"/>
          <w:lang w:val="en-US" w:eastAsia="zh-CN"/>
        </w:rPr>
        <w:t>（七）加强设备运行及环境风险管理，落实《报告表》提出的风险防范措施，编制突发环境事故应急预案。开展环境治理设施安全风险识别管控，健全内部污染防治设施稳定运行和管理责任制度，严格依据标准规范建设环境治理设施，确保环境治理设施安全、稳定、有效运行。同时采取切实可行的工程控制和管理措施，防止发生污染事故。</w:t>
      </w:r>
    </w:p>
    <w:p w14:paraId="4E500269">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四、</w:t>
      </w:r>
      <w:r>
        <w:rPr>
          <w:rFonts w:eastAsia="仿宋_GB2312"/>
          <w:color w:val="auto"/>
          <w:sz w:val="32"/>
          <w:szCs w:val="32"/>
        </w:rPr>
        <w:t>本项目</w:t>
      </w:r>
      <w:r>
        <w:rPr>
          <w:rFonts w:hint="eastAsia" w:eastAsia="仿宋_GB2312"/>
          <w:color w:val="auto"/>
          <w:sz w:val="32"/>
          <w:szCs w:val="32"/>
          <w:lang w:eastAsia="zh-CN"/>
        </w:rPr>
        <w:t>主要污染物</w:t>
      </w:r>
      <w:r>
        <w:rPr>
          <w:rFonts w:hint="eastAsia" w:eastAsia="仿宋_GB2312"/>
          <w:color w:val="auto"/>
          <w:sz w:val="32"/>
          <w:szCs w:val="32"/>
          <w:lang w:val="en-US" w:eastAsia="zh-CN"/>
        </w:rPr>
        <w:t>VOCs、颗粒物、二氧化硫、氮氧化物在企业现有总量中平衡。</w:t>
      </w:r>
    </w:p>
    <w:p w14:paraId="15ACA49D">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1.本项目污染物排放总量控制指标</w:t>
      </w:r>
      <w:r>
        <w:rPr>
          <w:rFonts w:ascii="Times New Roman" w:hAnsi="Times New Roman" w:eastAsia="仿宋_GB2312" w:cs="Times New Roman"/>
          <w:color w:val="auto"/>
          <w:sz w:val="32"/>
          <w:szCs w:val="32"/>
        </w:rPr>
        <w:t>：</w:t>
      </w:r>
    </w:p>
    <w:p w14:paraId="68899D3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rPr>
      </w:pPr>
      <w:r>
        <w:rPr>
          <w:rFonts w:hint="eastAsia" w:ascii="Times New Roman" w:hAnsi="Times New Roman" w:eastAsia="仿宋_GB2312" w:cs="Times New Roman"/>
          <w:color w:val="auto"/>
          <w:sz w:val="32"/>
          <w:szCs w:val="32"/>
          <w:lang w:eastAsia="zh-CN"/>
        </w:rPr>
        <w:t>大气污染物</w:t>
      </w:r>
      <w:r>
        <w:rPr>
          <w:rFonts w:hint="eastAsia" w:eastAsia="仿宋_GB2312"/>
          <w:color w:val="auto"/>
          <w:sz w:val="32"/>
          <w:szCs w:val="32"/>
          <w:lang w:eastAsia="zh-CN"/>
        </w:rPr>
        <w:t>（有组织）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颗粒物</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rPr>
        <w:t>0.3494t/a，VOCs</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rPr>
        <w:t>0.264t/a，</w:t>
      </w:r>
      <w:r>
        <w:rPr>
          <w:rFonts w:hint="eastAsia" w:ascii="Times New Roman" w:hAnsi="Times New Roman" w:eastAsia="仿宋_GB2312" w:cs="Times New Roman"/>
          <w:color w:val="auto"/>
          <w:sz w:val="32"/>
          <w:szCs w:val="32"/>
          <w:lang w:eastAsia="zh-CN"/>
        </w:rPr>
        <w:t>二氧化硫</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rPr>
        <w:t>0.0353t/a，</w:t>
      </w:r>
      <w:r>
        <w:rPr>
          <w:rFonts w:hint="eastAsia" w:ascii="Times New Roman" w:hAnsi="Times New Roman" w:eastAsia="仿宋_GB2312" w:cs="Times New Roman"/>
          <w:color w:val="auto"/>
          <w:sz w:val="32"/>
          <w:szCs w:val="32"/>
          <w:lang w:eastAsia="zh-CN"/>
        </w:rPr>
        <w:t>氮氧化物</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rPr>
        <w:t>0.353t/a</w:t>
      </w:r>
      <w:r>
        <w:rPr>
          <w:rFonts w:ascii="Times New Roman" w:hAnsi="Times New Roman" w:eastAsia="仿宋_GB2312" w:cs="Times New Roman"/>
          <w:color w:val="auto"/>
          <w:sz w:val="32"/>
          <w:szCs w:val="32"/>
        </w:rPr>
        <w:t>。</w:t>
      </w:r>
    </w:p>
    <w:p w14:paraId="7060F58F">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固废废物：全部综合利用或安全处置。</w:t>
      </w:r>
    </w:p>
    <w:p w14:paraId="706C2864">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技改项目建成后，全厂污染物总量控制情况如下：</w:t>
      </w:r>
    </w:p>
    <w:p w14:paraId="49E758E5">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大气污染物</w:t>
      </w:r>
      <w:r>
        <w:rPr>
          <w:rFonts w:hint="eastAsia" w:eastAsia="仿宋_GB2312"/>
          <w:color w:val="auto"/>
          <w:sz w:val="32"/>
          <w:szCs w:val="32"/>
          <w:lang w:eastAsia="zh-CN"/>
        </w:rPr>
        <w:t>（有组织）</w:t>
      </w:r>
      <w:r>
        <w:rPr>
          <w:rFonts w:hint="eastAsia" w:ascii="Times New Roman" w:hAnsi="Times New Roman" w:eastAsia="仿宋_GB2312" w:cs="Times New Roman"/>
          <w:color w:val="auto"/>
          <w:sz w:val="32"/>
          <w:szCs w:val="32"/>
          <w:lang w:eastAsia="zh-CN"/>
        </w:rPr>
        <w:t>：颗粒物</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2.0194t/a、VOCs</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0.264t/a、二氧化硫</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0.0353t/a、氮氧化物</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0.353t/a。</w:t>
      </w:r>
    </w:p>
    <w:p w14:paraId="7C38E527">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水污染物（接管考核量）：废水量</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6432m</w:t>
      </w:r>
      <w:r>
        <w:rPr>
          <w:rFonts w:hint="eastAsia" w:ascii="Times New Roman" w:hAnsi="Times New Roman" w:eastAsia="仿宋_GB2312" w:cs="Times New Roman"/>
          <w:color w:val="auto"/>
          <w:sz w:val="32"/>
          <w:szCs w:val="32"/>
          <w:vertAlign w:val="superscript"/>
          <w:lang w:eastAsia="zh-CN"/>
        </w:rPr>
        <w:t>3</w:t>
      </w:r>
      <w:r>
        <w:rPr>
          <w:rFonts w:hint="eastAsia" w:ascii="Times New Roman" w:hAnsi="Times New Roman" w:eastAsia="仿宋_GB2312" w:cs="Times New Roman"/>
          <w:color w:val="auto"/>
          <w:sz w:val="32"/>
          <w:szCs w:val="32"/>
          <w:lang w:eastAsia="zh-CN"/>
        </w:rPr>
        <w:t>/a，COD</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1.92t/a、SS</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1.28t/a、NH</w:t>
      </w:r>
      <w:r>
        <w:rPr>
          <w:rFonts w:hint="eastAsia" w:ascii="Times New Roman" w:hAnsi="Times New Roman" w:eastAsia="仿宋_GB2312" w:cs="Times New Roman"/>
          <w:color w:val="auto"/>
          <w:sz w:val="32"/>
          <w:szCs w:val="32"/>
          <w:vertAlign w:val="subscript"/>
          <w:lang w:eastAsia="zh-CN"/>
        </w:rPr>
        <w:t>3</w:t>
      </w:r>
      <w:r>
        <w:rPr>
          <w:rFonts w:hint="eastAsia" w:ascii="Times New Roman" w:hAnsi="Times New Roman" w:eastAsia="仿宋_GB2312" w:cs="Times New Roman"/>
          <w:color w:val="auto"/>
          <w:sz w:val="32"/>
          <w:szCs w:val="32"/>
          <w:lang w:eastAsia="zh-CN"/>
        </w:rPr>
        <w:t>-N</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0.221t/a、TN</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0.289t/a、TP</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0.018t/a；</w:t>
      </w:r>
    </w:p>
    <w:p w14:paraId="01CE5D6B">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水污染物</w:t>
      </w:r>
      <w:r>
        <w:rPr>
          <w:rFonts w:hint="eastAsia" w:ascii="Times New Roman" w:hAnsi="Times New Roman" w:eastAsia="仿宋_GB2312" w:cs="Times New Roman"/>
          <w:color w:val="auto"/>
          <w:spacing w:val="-20"/>
          <w:sz w:val="32"/>
          <w:szCs w:val="32"/>
          <w:lang w:eastAsia="zh-CN"/>
        </w:rPr>
        <w:t>（外排环境量）：</w:t>
      </w:r>
      <w:r>
        <w:rPr>
          <w:rFonts w:hint="eastAsia" w:ascii="Times New Roman" w:hAnsi="Times New Roman" w:eastAsia="仿宋_GB2312" w:cs="Times New Roman"/>
          <w:color w:val="auto"/>
          <w:sz w:val="32"/>
          <w:szCs w:val="32"/>
          <w:lang w:eastAsia="zh-CN"/>
        </w:rPr>
        <w:t>废水量</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6432m</w:t>
      </w:r>
      <w:r>
        <w:rPr>
          <w:rFonts w:hint="eastAsia" w:ascii="Times New Roman" w:hAnsi="Times New Roman" w:eastAsia="仿宋_GB2312" w:cs="Times New Roman"/>
          <w:color w:val="auto"/>
          <w:sz w:val="32"/>
          <w:szCs w:val="32"/>
          <w:vertAlign w:val="superscript"/>
          <w:lang w:eastAsia="zh-CN"/>
        </w:rPr>
        <w:t>3</w:t>
      </w:r>
      <w:r>
        <w:rPr>
          <w:rFonts w:hint="eastAsia" w:ascii="Times New Roman" w:hAnsi="Times New Roman" w:eastAsia="仿宋_GB2312" w:cs="Times New Roman"/>
          <w:color w:val="auto"/>
          <w:sz w:val="32"/>
          <w:szCs w:val="32"/>
          <w:lang w:eastAsia="zh-CN"/>
        </w:rPr>
        <w:t>/a，COD</w:t>
      </w:r>
      <w:r>
        <w:rPr>
          <w:rFonts w:hint="default" w:eastAsia="仿宋_GB2312"/>
          <w:color w:val="auto"/>
          <w:sz w:val="32"/>
          <w:szCs w:val="32"/>
          <w:lang w:val="en-US" w:eastAsia="zh-CN"/>
        </w:rPr>
        <w:t>≤</w:t>
      </w:r>
      <w:r>
        <w:rPr>
          <w:rFonts w:hint="eastAsia" w:ascii="Times New Roman" w:hAnsi="Times New Roman" w:eastAsia="仿宋_GB2312" w:cs="Times New Roman"/>
          <w:color w:val="auto"/>
          <w:sz w:val="32"/>
          <w:szCs w:val="32"/>
          <w:lang w:eastAsia="zh-CN"/>
        </w:rPr>
        <w:t>0.322t/a、</w:t>
      </w:r>
      <w:r>
        <w:rPr>
          <w:rFonts w:hint="eastAsia" w:ascii="Times New Roman" w:hAnsi="Times New Roman" w:eastAsia="仿宋_GB2312" w:cs="Times New Roman"/>
          <w:color w:val="auto"/>
          <w:spacing w:val="-6"/>
          <w:sz w:val="32"/>
          <w:szCs w:val="32"/>
          <w:lang w:eastAsia="zh-CN"/>
        </w:rPr>
        <w:t>SS</w:t>
      </w:r>
      <w:r>
        <w:rPr>
          <w:rFonts w:hint="default" w:eastAsia="仿宋_GB2312"/>
          <w:color w:val="auto"/>
          <w:spacing w:val="-6"/>
          <w:sz w:val="32"/>
          <w:szCs w:val="32"/>
          <w:lang w:val="en-US" w:eastAsia="zh-CN"/>
        </w:rPr>
        <w:t>≤</w:t>
      </w:r>
      <w:r>
        <w:rPr>
          <w:rFonts w:hint="eastAsia" w:ascii="Times New Roman" w:hAnsi="Times New Roman" w:eastAsia="仿宋_GB2312" w:cs="Times New Roman"/>
          <w:color w:val="auto"/>
          <w:spacing w:val="-6"/>
          <w:sz w:val="32"/>
          <w:szCs w:val="32"/>
          <w:lang w:eastAsia="zh-CN"/>
        </w:rPr>
        <w:t>0.0643t/a、NH</w:t>
      </w:r>
      <w:r>
        <w:rPr>
          <w:rFonts w:hint="eastAsia" w:ascii="Times New Roman" w:hAnsi="Times New Roman" w:eastAsia="仿宋_GB2312" w:cs="Times New Roman"/>
          <w:color w:val="auto"/>
          <w:spacing w:val="-6"/>
          <w:sz w:val="32"/>
          <w:szCs w:val="32"/>
          <w:vertAlign w:val="subscript"/>
          <w:lang w:eastAsia="zh-CN"/>
        </w:rPr>
        <w:t>3</w:t>
      </w:r>
      <w:r>
        <w:rPr>
          <w:rFonts w:hint="eastAsia" w:ascii="Times New Roman" w:hAnsi="Times New Roman" w:eastAsia="仿宋_GB2312" w:cs="Times New Roman"/>
          <w:color w:val="auto"/>
          <w:spacing w:val="-6"/>
          <w:sz w:val="32"/>
          <w:szCs w:val="32"/>
          <w:lang w:eastAsia="zh-CN"/>
        </w:rPr>
        <w:t>-N</w:t>
      </w:r>
      <w:r>
        <w:rPr>
          <w:rFonts w:hint="default" w:eastAsia="仿宋_GB2312"/>
          <w:color w:val="auto"/>
          <w:spacing w:val="-6"/>
          <w:sz w:val="32"/>
          <w:szCs w:val="32"/>
          <w:lang w:val="en-US" w:eastAsia="zh-CN"/>
        </w:rPr>
        <w:t>≤</w:t>
      </w:r>
      <w:r>
        <w:rPr>
          <w:rFonts w:hint="eastAsia" w:ascii="Times New Roman" w:hAnsi="Times New Roman" w:eastAsia="仿宋_GB2312" w:cs="Times New Roman"/>
          <w:color w:val="auto"/>
          <w:spacing w:val="-6"/>
          <w:sz w:val="32"/>
          <w:szCs w:val="32"/>
          <w:lang w:eastAsia="zh-CN"/>
        </w:rPr>
        <w:t>0.0322t/a、TN</w:t>
      </w:r>
      <w:r>
        <w:rPr>
          <w:rFonts w:hint="default" w:eastAsia="仿宋_GB2312"/>
          <w:color w:val="auto"/>
          <w:spacing w:val="-6"/>
          <w:sz w:val="32"/>
          <w:szCs w:val="32"/>
          <w:lang w:val="en-US" w:eastAsia="zh-CN"/>
        </w:rPr>
        <w:t>≤</w:t>
      </w:r>
      <w:r>
        <w:rPr>
          <w:rFonts w:hint="eastAsia" w:ascii="Times New Roman" w:hAnsi="Times New Roman" w:eastAsia="仿宋_GB2312" w:cs="Times New Roman"/>
          <w:color w:val="auto"/>
          <w:spacing w:val="-6"/>
          <w:sz w:val="32"/>
          <w:szCs w:val="32"/>
          <w:lang w:eastAsia="zh-CN"/>
        </w:rPr>
        <w:t>0.0965t/a、TP</w:t>
      </w:r>
      <w:r>
        <w:rPr>
          <w:rFonts w:hint="default" w:eastAsia="仿宋_GB2312"/>
          <w:color w:val="auto"/>
          <w:spacing w:val="-6"/>
          <w:sz w:val="32"/>
          <w:szCs w:val="32"/>
          <w:lang w:val="en-US" w:eastAsia="zh-CN"/>
        </w:rPr>
        <w:t>≤</w:t>
      </w:r>
      <w:r>
        <w:rPr>
          <w:rFonts w:hint="eastAsia" w:ascii="Times New Roman" w:hAnsi="Times New Roman" w:eastAsia="仿宋_GB2312" w:cs="Times New Roman"/>
          <w:color w:val="auto"/>
          <w:spacing w:val="-6"/>
          <w:sz w:val="32"/>
          <w:szCs w:val="32"/>
          <w:lang w:eastAsia="zh-CN"/>
        </w:rPr>
        <w:t>0.00322t/a。</w:t>
      </w:r>
    </w:p>
    <w:p w14:paraId="68B3C015">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sz w:val="32"/>
          <w:szCs w:val="32"/>
          <w:lang w:eastAsia="zh-CN"/>
        </w:rPr>
        <w:t>（3）固废：全部综合利用或安全处置。</w:t>
      </w:r>
    </w:p>
    <w:p w14:paraId="5472EE4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五、根据报告表要求，本项目卫生防护距离以表面处理车间为执行边界100米范围。</w:t>
      </w:r>
    </w:p>
    <w:p w14:paraId="4A02D2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六、你公司应在本项目实际排污之前申请排污许可证或者填报排污登记表，未取得排污许可证或者申填报排污登记的，不得排放污染物。</w:t>
      </w:r>
    </w:p>
    <w:p w14:paraId="54E6540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七、严格落实生态环境保护主体责任，你公司应当对《报告表》的内容和结论负责。</w:t>
      </w:r>
    </w:p>
    <w:p w14:paraId="5CF5881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八、项目建设期间及运营期的环境监管由连云港市生态环境局高新区分局负责。项目的环保设施必须与主体工程同时建成并投入使用，并按规定办理项目竣工环保验收手续。逾期未验收，将由相关部门依法进行处置。</w:t>
      </w:r>
    </w:p>
    <w:p w14:paraId="5528B0C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eastAsia="仿宋_GB2312"/>
          <w:color w:val="auto"/>
          <w:sz w:val="32"/>
          <w:szCs w:val="32"/>
        </w:rPr>
      </w:pPr>
      <w:r>
        <w:rPr>
          <w:rFonts w:hint="eastAsia" w:eastAsia="仿宋_GB2312"/>
          <w:color w:val="auto"/>
          <w:sz w:val="32"/>
          <w:szCs w:val="32"/>
          <w:lang w:val="en-US" w:eastAsia="zh-CN"/>
        </w:rPr>
        <w:t>九、项目的性质、规模、地点或者防治污染、防止生态破坏的措施发生重大变动的，应当重新报批项目的环境影响评价文件。项目自批准之日起超过五年方开工建设的，环评文件须重新报审</w:t>
      </w:r>
      <w:r>
        <w:rPr>
          <w:rFonts w:eastAsia="仿宋_GB2312"/>
          <w:color w:val="auto"/>
          <w:sz w:val="32"/>
          <w:szCs w:val="32"/>
        </w:rPr>
        <w:t>。</w:t>
      </w:r>
    </w:p>
    <w:p w14:paraId="295058BE">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2D6B9985">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0BB1FAE5">
      <w:pPr>
        <w:keepNext w:val="0"/>
        <w:keepLines w:val="0"/>
        <w:pageBreakBefore w:val="0"/>
        <w:widowControl w:val="0"/>
        <w:kinsoku/>
        <w:wordWrap w:val="0"/>
        <w:overflowPunct/>
        <w:topLinePunct w:val="0"/>
        <w:autoSpaceDE/>
        <w:autoSpaceDN/>
        <w:bidi w:val="0"/>
        <w:adjustRightInd w:val="0"/>
        <w:snapToGrid w:val="0"/>
        <w:spacing w:line="540" w:lineRule="exact"/>
        <w:ind w:firstLine="2720" w:firstLineChars="850"/>
        <w:textAlignment w:val="auto"/>
        <w:rPr>
          <w:rFonts w:eastAsia="仿宋_GB2312"/>
          <w:color w:val="auto"/>
          <w:sz w:val="32"/>
          <w:szCs w:val="32"/>
        </w:rPr>
      </w:pPr>
      <w:r>
        <w:rPr>
          <w:rFonts w:eastAsia="仿宋_GB2312"/>
          <w:color w:val="auto"/>
          <w:sz w:val="32"/>
          <w:szCs w:val="32"/>
        </w:rPr>
        <w:t>连云港高新技术产业开发区行政审批局</w:t>
      </w:r>
    </w:p>
    <w:p w14:paraId="29EE691A">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highlight w:val="none"/>
        </w:rPr>
      </w:pPr>
      <w:r>
        <w:rPr>
          <w:rFonts w:eastAsia="仿宋_GB2312"/>
          <w:color w:val="auto"/>
          <w:sz w:val="32"/>
          <w:szCs w:val="32"/>
        </w:rPr>
        <w:t xml:space="preserve">                       </w:t>
      </w:r>
      <w:r>
        <w:rPr>
          <w:rFonts w:eastAsia="仿宋_GB2312"/>
          <w:color w:val="auto"/>
          <w:sz w:val="32"/>
          <w:szCs w:val="32"/>
          <w:highlight w:val="none"/>
        </w:rPr>
        <w:t xml:space="preserve">  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9</w:t>
      </w:r>
      <w:r>
        <w:rPr>
          <w:rFonts w:eastAsia="仿宋_GB2312"/>
          <w:color w:val="auto"/>
          <w:sz w:val="32"/>
          <w:szCs w:val="32"/>
          <w:highlight w:val="none"/>
        </w:rPr>
        <w:t>月</w:t>
      </w:r>
      <w:r>
        <w:rPr>
          <w:rFonts w:hint="eastAsia" w:eastAsia="仿宋_GB2312"/>
          <w:color w:val="auto"/>
          <w:sz w:val="32"/>
          <w:szCs w:val="32"/>
          <w:highlight w:val="none"/>
          <w:lang w:val="en-US" w:eastAsia="zh-CN"/>
        </w:rPr>
        <w:t>12</w:t>
      </w:r>
      <w:r>
        <w:rPr>
          <w:rFonts w:eastAsia="仿宋_GB2312"/>
          <w:color w:val="auto"/>
          <w:sz w:val="32"/>
          <w:szCs w:val="32"/>
          <w:highlight w:val="none"/>
        </w:rPr>
        <w:t xml:space="preserve">日 </w:t>
      </w:r>
    </w:p>
    <w:p w14:paraId="522AA86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748715B7">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12C574F2">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4665CBF1">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eastAsia="仿宋_GB2312"/>
          <w:color w:val="auto"/>
          <w:sz w:val="32"/>
          <w:szCs w:val="32"/>
        </w:rPr>
      </w:pPr>
    </w:p>
    <w:p w14:paraId="28592B95">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抄送：连云港市生态环境局高新区分局，</w:t>
      </w:r>
      <w:r>
        <w:rPr>
          <w:rFonts w:hint="eastAsia" w:eastAsia="仿宋_GB2312"/>
          <w:color w:val="auto"/>
          <w:sz w:val="32"/>
          <w:szCs w:val="32"/>
          <w:lang w:eastAsia="zh-CN"/>
        </w:rPr>
        <w:t>江苏龙展环保科技有限公司</w:t>
      </w:r>
    </w:p>
    <w:sectPr>
      <w:footerReference r:id="rId3" w:type="default"/>
      <w:footerReference r:id="rId4" w:type="even"/>
      <w:pgSz w:w="11906" w:h="16838"/>
      <w:pgMar w:top="2098" w:right="1417"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9435">
    <w:pPr>
      <w:pStyle w:val="8"/>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14:paraId="1315DE1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CCE4">
    <w:pPr>
      <w:pStyle w:val="8"/>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469172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kZjEzZmMyNzgzMTBjN2JkMTc0NjQzNjZkNjkxYWEifQ=="/>
  </w:docVars>
  <w:rsids>
    <w:rsidRoot w:val="00A33778"/>
    <w:rsid w:val="000059B3"/>
    <w:rsid w:val="0001238B"/>
    <w:rsid w:val="00024404"/>
    <w:rsid w:val="00025971"/>
    <w:rsid w:val="00035C81"/>
    <w:rsid w:val="00053016"/>
    <w:rsid w:val="00053BD9"/>
    <w:rsid w:val="000625E2"/>
    <w:rsid w:val="00064CEA"/>
    <w:rsid w:val="000707AE"/>
    <w:rsid w:val="00093DAE"/>
    <w:rsid w:val="000A4DA5"/>
    <w:rsid w:val="000A4E84"/>
    <w:rsid w:val="000C2272"/>
    <w:rsid w:val="000C578E"/>
    <w:rsid w:val="000D5994"/>
    <w:rsid w:val="00100764"/>
    <w:rsid w:val="00101347"/>
    <w:rsid w:val="00104E77"/>
    <w:rsid w:val="00107B67"/>
    <w:rsid w:val="00135FB3"/>
    <w:rsid w:val="0016210A"/>
    <w:rsid w:val="0017326B"/>
    <w:rsid w:val="001901CA"/>
    <w:rsid w:val="001B3CA1"/>
    <w:rsid w:val="001C09A0"/>
    <w:rsid w:val="001C3C15"/>
    <w:rsid w:val="001D495D"/>
    <w:rsid w:val="001D4E75"/>
    <w:rsid w:val="001F0518"/>
    <w:rsid w:val="0021592F"/>
    <w:rsid w:val="00235633"/>
    <w:rsid w:val="00257185"/>
    <w:rsid w:val="0025762B"/>
    <w:rsid w:val="00261377"/>
    <w:rsid w:val="00261868"/>
    <w:rsid w:val="00290E82"/>
    <w:rsid w:val="002921D2"/>
    <w:rsid w:val="002A12EE"/>
    <w:rsid w:val="002B7B42"/>
    <w:rsid w:val="002C1DD6"/>
    <w:rsid w:val="002C215D"/>
    <w:rsid w:val="002D59FE"/>
    <w:rsid w:val="002F2386"/>
    <w:rsid w:val="002F52C1"/>
    <w:rsid w:val="00326697"/>
    <w:rsid w:val="003309C5"/>
    <w:rsid w:val="00346599"/>
    <w:rsid w:val="00353552"/>
    <w:rsid w:val="0036127B"/>
    <w:rsid w:val="003638F2"/>
    <w:rsid w:val="00367E1D"/>
    <w:rsid w:val="00370A26"/>
    <w:rsid w:val="00374CCA"/>
    <w:rsid w:val="003762C7"/>
    <w:rsid w:val="00381859"/>
    <w:rsid w:val="003A42C6"/>
    <w:rsid w:val="003B374D"/>
    <w:rsid w:val="003C02D9"/>
    <w:rsid w:val="003D3681"/>
    <w:rsid w:val="003F3575"/>
    <w:rsid w:val="00400B23"/>
    <w:rsid w:val="004027F2"/>
    <w:rsid w:val="0040331B"/>
    <w:rsid w:val="004067A1"/>
    <w:rsid w:val="0042713D"/>
    <w:rsid w:val="0043253D"/>
    <w:rsid w:val="004639D4"/>
    <w:rsid w:val="00467D79"/>
    <w:rsid w:val="00484C9A"/>
    <w:rsid w:val="004A2CE3"/>
    <w:rsid w:val="004A5EF5"/>
    <w:rsid w:val="004B4849"/>
    <w:rsid w:val="004B7C59"/>
    <w:rsid w:val="004C3DC8"/>
    <w:rsid w:val="004C426E"/>
    <w:rsid w:val="004F79AA"/>
    <w:rsid w:val="00510EAF"/>
    <w:rsid w:val="00522A1F"/>
    <w:rsid w:val="00534A5E"/>
    <w:rsid w:val="0054249B"/>
    <w:rsid w:val="005432FD"/>
    <w:rsid w:val="0054508C"/>
    <w:rsid w:val="005472CC"/>
    <w:rsid w:val="005534FB"/>
    <w:rsid w:val="00556D6E"/>
    <w:rsid w:val="00556D9C"/>
    <w:rsid w:val="00562D41"/>
    <w:rsid w:val="00567E19"/>
    <w:rsid w:val="00571E37"/>
    <w:rsid w:val="005976E9"/>
    <w:rsid w:val="00597F6E"/>
    <w:rsid w:val="005A206F"/>
    <w:rsid w:val="005A68E6"/>
    <w:rsid w:val="005B5556"/>
    <w:rsid w:val="005C708E"/>
    <w:rsid w:val="005C79FA"/>
    <w:rsid w:val="005D4278"/>
    <w:rsid w:val="005D561F"/>
    <w:rsid w:val="005D577F"/>
    <w:rsid w:val="005D608E"/>
    <w:rsid w:val="005D75CE"/>
    <w:rsid w:val="005E3D4A"/>
    <w:rsid w:val="005E5075"/>
    <w:rsid w:val="005E7EE4"/>
    <w:rsid w:val="00600124"/>
    <w:rsid w:val="00600CB7"/>
    <w:rsid w:val="00600FF3"/>
    <w:rsid w:val="006124A7"/>
    <w:rsid w:val="00613B2D"/>
    <w:rsid w:val="00614D66"/>
    <w:rsid w:val="006203E0"/>
    <w:rsid w:val="0062558B"/>
    <w:rsid w:val="006301DB"/>
    <w:rsid w:val="006433DC"/>
    <w:rsid w:val="00651D5A"/>
    <w:rsid w:val="006537A6"/>
    <w:rsid w:val="00667546"/>
    <w:rsid w:val="006724FF"/>
    <w:rsid w:val="0068144C"/>
    <w:rsid w:val="0068205A"/>
    <w:rsid w:val="006833FD"/>
    <w:rsid w:val="00693BE2"/>
    <w:rsid w:val="006B0EBD"/>
    <w:rsid w:val="006B3023"/>
    <w:rsid w:val="006D77D9"/>
    <w:rsid w:val="006F0110"/>
    <w:rsid w:val="006F2E67"/>
    <w:rsid w:val="0070153B"/>
    <w:rsid w:val="00701637"/>
    <w:rsid w:val="00706723"/>
    <w:rsid w:val="0071350A"/>
    <w:rsid w:val="00723A44"/>
    <w:rsid w:val="00760498"/>
    <w:rsid w:val="00777168"/>
    <w:rsid w:val="00783DDD"/>
    <w:rsid w:val="007927CE"/>
    <w:rsid w:val="0079391A"/>
    <w:rsid w:val="00793CFE"/>
    <w:rsid w:val="007A266D"/>
    <w:rsid w:val="007A399B"/>
    <w:rsid w:val="007C06F7"/>
    <w:rsid w:val="007C565A"/>
    <w:rsid w:val="007E0DCB"/>
    <w:rsid w:val="007E1360"/>
    <w:rsid w:val="007E733A"/>
    <w:rsid w:val="007F4E71"/>
    <w:rsid w:val="007F61FE"/>
    <w:rsid w:val="0081690F"/>
    <w:rsid w:val="00862485"/>
    <w:rsid w:val="00863CBE"/>
    <w:rsid w:val="0087730E"/>
    <w:rsid w:val="008820E1"/>
    <w:rsid w:val="00883310"/>
    <w:rsid w:val="008A0C9D"/>
    <w:rsid w:val="008A7C6E"/>
    <w:rsid w:val="008C11C2"/>
    <w:rsid w:val="008C38AA"/>
    <w:rsid w:val="008C62CF"/>
    <w:rsid w:val="008E64E4"/>
    <w:rsid w:val="00920F4F"/>
    <w:rsid w:val="00926B65"/>
    <w:rsid w:val="0093382E"/>
    <w:rsid w:val="0093420B"/>
    <w:rsid w:val="00946B79"/>
    <w:rsid w:val="00972A65"/>
    <w:rsid w:val="009849DD"/>
    <w:rsid w:val="00991456"/>
    <w:rsid w:val="009939C6"/>
    <w:rsid w:val="00993BEE"/>
    <w:rsid w:val="00994F6F"/>
    <w:rsid w:val="009A3662"/>
    <w:rsid w:val="009B1AFA"/>
    <w:rsid w:val="009B2D48"/>
    <w:rsid w:val="009B5571"/>
    <w:rsid w:val="009C4E8D"/>
    <w:rsid w:val="009D1977"/>
    <w:rsid w:val="009E43E5"/>
    <w:rsid w:val="009F7FF0"/>
    <w:rsid w:val="00A07623"/>
    <w:rsid w:val="00A16446"/>
    <w:rsid w:val="00A3090E"/>
    <w:rsid w:val="00A33778"/>
    <w:rsid w:val="00A421D0"/>
    <w:rsid w:val="00A531E2"/>
    <w:rsid w:val="00A61F6F"/>
    <w:rsid w:val="00A65B48"/>
    <w:rsid w:val="00A73025"/>
    <w:rsid w:val="00A93F02"/>
    <w:rsid w:val="00AA2532"/>
    <w:rsid w:val="00AB53A1"/>
    <w:rsid w:val="00AC429E"/>
    <w:rsid w:val="00AC4B54"/>
    <w:rsid w:val="00AD51BC"/>
    <w:rsid w:val="00AF5797"/>
    <w:rsid w:val="00AF5AC2"/>
    <w:rsid w:val="00B123E3"/>
    <w:rsid w:val="00B30404"/>
    <w:rsid w:val="00B45B89"/>
    <w:rsid w:val="00B579FB"/>
    <w:rsid w:val="00B660D9"/>
    <w:rsid w:val="00B876BD"/>
    <w:rsid w:val="00BB2551"/>
    <w:rsid w:val="00BC02DA"/>
    <w:rsid w:val="00BC26B6"/>
    <w:rsid w:val="00BC287A"/>
    <w:rsid w:val="00BC2BF3"/>
    <w:rsid w:val="00BD3991"/>
    <w:rsid w:val="00BD5126"/>
    <w:rsid w:val="00BE1663"/>
    <w:rsid w:val="00BE2C25"/>
    <w:rsid w:val="00BE7C89"/>
    <w:rsid w:val="00BF52BD"/>
    <w:rsid w:val="00C11AD3"/>
    <w:rsid w:val="00C12A2C"/>
    <w:rsid w:val="00C131C7"/>
    <w:rsid w:val="00C347BB"/>
    <w:rsid w:val="00C420E3"/>
    <w:rsid w:val="00C511BD"/>
    <w:rsid w:val="00C55301"/>
    <w:rsid w:val="00C66A97"/>
    <w:rsid w:val="00C732AD"/>
    <w:rsid w:val="00C8219B"/>
    <w:rsid w:val="00C82A70"/>
    <w:rsid w:val="00C9008A"/>
    <w:rsid w:val="00C906A1"/>
    <w:rsid w:val="00CB4645"/>
    <w:rsid w:val="00CB61D3"/>
    <w:rsid w:val="00CC566C"/>
    <w:rsid w:val="00CC57D3"/>
    <w:rsid w:val="00CE46DF"/>
    <w:rsid w:val="00CF7050"/>
    <w:rsid w:val="00D042F1"/>
    <w:rsid w:val="00D04D18"/>
    <w:rsid w:val="00D213FC"/>
    <w:rsid w:val="00D223F7"/>
    <w:rsid w:val="00D22A50"/>
    <w:rsid w:val="00D22F21"/>
    <w:rsid w:val="00D23755"/>
    <w:rsid w:val="00D23E11"/>
    <w:rsid w:val="00D33DD0"/>
    <w:rsid w:val="00D3713D"/>
    <w:rsid w:val="00D409B1"/>
    <w:rsid w:val="00D40D33"/>
    <w:rsid w:val="00D42CBA"/>
    <w:rsid w:val="00D44424"/>
    <w:rsid w:val="00D53E9E"/>
    <w:rsid w:val="00D570CE"/>
    <w:rsid w:val="00D62AD7"/>
    <w:rsid w:val="00D719D0"/>
    <w:rsid w:val="00D905DB"/>
    <w:rsid w:val="00D90B5D"/>
    <w:rsid w:val="00D91A79"/>
    <w:rsid w:val="00D9560D"/>
    <w:rsid w:val="00D97678"/>
    <w:rsid w:val="00DA1275"/>
    <w:rsid w:val="00DC7E29"/>
    <w:rsid w:val="00DD65F2"/>
    <w:rsid w:val="00DE39E3"/>
    <w:rsid w:val="00DF0747"/>
    <w:rsid w:val="00DF22F5"/>
    <w:rsid w:val="00DF2F35"/>
    <w:rsid w:val="00E34EF0"/>
    <w:rsid w:val="00E3528B"/>
    <w:rsid w:val="00E42D87"/>
    <w:rsid w:val="00E47122"/>
    <w:rsid w:val="00E57960"/>
    <w:rsid w:val="00E6260D"/>
    <w:rsid w:val="00E711B1"/>
    <w:rsid w:val="00E73446"/>
    <w:rsid w:val="00E73E7D"/>
    <w:rsid w:val="00E76881"/>
    <w:rsid w:val="00E91BFB"/>
    <w:rsid w:val="00EA0963"/>
    <w:rsid w:val="00EB0964"/>
    <w:rsid w:val="00EB1656"/>
    <w:rsid w:val="00EC6178"/>
    <w:rsid w:val="00ED5BDE"/>
    <w:rsid w:val="00F13008"/>
    <w:rsid w:val="00F2496E"/>
    <w:rsid w:val="00F355C7"/>
    <w:rsid w:val="00F5489B"/>
    <w:rsid w:val="00F667ED"/>
    <w:rsid w:val="00F9009F"/>
    <w:rsid w:val="00F90845"/>
    <w:rsid w:val="00FA43AC"/>
    <w:rsid w:val="00FA6748"/>
    <w:rsid w:val="00FB62B1"/>
    <w:rsid w:val="00FB731F"/>
    <w:rsid w:val="00FD308A"/>
    <w:rsid w:val="00FE57C3"/>
    <w:rsid w:val="00FE628A"/>
    <w:rsid w:val="00FE753E"/>
    <w:rsid w:val="011434A4"/>
    <w:rsid w:val="01EC3E90"/>
    <w:rsid w:val="03CC0C05"/>
    <w:rsid w:val="05A137A0"/>
    <w:rsid w:val="05BC1DCB"/>
    <w:rsid w:val="060909A6"/>
    <w:rsid w:val="060F45F1"/>
    <w:rsid w:val="06260797"/>
    <w:rsid w:val="07107E0D"/>
    <w:rsid w:val="078A6045"/>
    <w:rsid w:val="0790029E"/>
    <w:rsid w:val="07C92B50"/>
    <w:rsid w:val="07D75D82"/>
    <w:rsid w:val="07F669DC"/>
    <w:rsid w:val="08071A24"/>
    <w:rsid w:val="0D34281B"/>
    <w:rsid w:val="0F7A7A09"/>
    <w:rsid w:val="115F7F76"/>
    <w:rsid w:val="116003F7"/>
    <w:rsid w:val="12FA4492"/>
    <w:rsid w:val="13AE369B"/>
    <w:rsid w:val="1559776D"/>
    <w:rsid w:val="15B30DC6"/>
    <w:rsid w:val="15C3133C"/>
    <w:rsid w:val="168E3162"/>
    <w:rsid w:val="16D14840"/>
    <w:rsid w:val="181456E7"/>
    <w:rsid w:val="19EA4D01"/>
    <w:rsid w:val="1A9133CF"/>
    <w:rsid w:val="1AEB31F7"/>
    <w:rsid w:val="1AF37BE5"/>
    <w:rsid w:val="1B544B28"/>
    <w:rsid w:val="1B7F7052"/>
    <w:rsid w:val="1B934AB5"/>
    <w:rsid w:val="1BC31046"/>
    <w:rsid w:val="1BE51C24"/>
    <w:rsid w:val="1C24274C"/>
    <w:rsid w:val="1D541B93"/>
    <w:rsid w:val="1DB44F31"/>
    <w:rsid w:val="1E78648F"/>
    <w:rsid w:val="1EBC3B3D"/>
    <w:rsid w:val="1F047DC4"/>
    <w:rsid w:val="1F2779A5"/>
    <w:rsid w:val="1F792DAF"/>
    <w:rsid w:val="1F982448"/>
    <w:rsid w:val="206B3164"/>
    <w:rsid w:val="20CF6B85"/>
    <w:rsid w:val="213B634D"/>
    <w:rsid w:val="21FF14A3"/>
    <w:rsid w:val="22520116"/>
    <w:rsid w:val="22A30143"/>
    <w:rsid w:val="22A4249C"/>
    <w:rsid w:val="23022C86"/>
    <w:rsid w:val="230C3F3A"/>
    <w:rsid w:val="23A518B2"/>
    <w:rsid w:val="24074396"/>
    <w:rsid w:val="24204E9C"/>
    <w:rsid w:val="24832BD7"/>
    <w:rsid w:val="24A328F9"/>
    <w:rsid w:val="24ED67EA"/>
    <w:rsid w:val="24F50DFB"/>
    <w:rsid w:val="258733F6"/>
    <w:rsid w:val="26E31DD3"/>
    <w:rsid w:val="27096DA5"/>
    <w:rsid w:val="27222275"/>
    <w:rsid w:val="275B283A"/>
    <w:rsid w:val="27CD0233"/>
    <w:rsid w:val="284E5E91"/>
    <w:rsid w:val="28937A8C"/>
    <w:rsid w:val="28C57065"/>
    <w:rsid w:val="28C770F6"/>
    <w:rsid w:val="28F5606D"/>
    <w:rsid w:val="2A1100C6"/>
    <w:rsid w:val="2B45743A"/>
    <w:rsid w:val="2C8E1915"/>
    <w:rsid w:val="2D125D8D"/>
    <w:rsid w:val="2E3E22B3"/>
    <w:rsid w:val="2F685A57"/>
    <w:rsid w:val="30C154B5"/>
    <w:rsid w:val="30D16C82"/>
    <w:rsid w:val="30E028E1"/>
    <w:rsid w:val="3142363A"/>
    <w:rsid w:val="315214C4"/>
    <w:rsid w:val="31815AF3"/>
    <w:rsid w:val="32867865"/>
    <w:rsid w:val="332B6976"/>
    <w:rsid w:val="3393061E"/>
    <w:rsid w:val="33A45AC9"/>
    <w:rsid w:val="34FF38FF"/>
    <w:rsid w:val="35EF1C9A"/>
    <w:rsid w:val="35F52289"/>
    <w:rsid w:val="3667175C"/>
    <w:rsid w:val="36FF2C6D"/>
    <w:rsid w:val="38DE012E"/>
    <w:rsid w:val="3A8B2738"/>
    <w:rsid w:val="3AB605BC"/>
    <w:rsid w:val="3ACB0D0D"/>
    <w:rsid w:val="3DDC56F4"/>
    <w:rsid w:val="3DDE45B1"/>
    <w:rsid w:val="3E1C3502"/>
    <w:rsid w:val="3E9E4FF9"/>
    <w:rsid w:val="3FD9166E"/>
    <w:rsid w:val="403C7A85"/>
    <w:rsid w:val="41DE690D"/>
    <w:rsid w:val="425F1A84"/>
    <w:rsid w:val="43002781"/>
    <w:rsid w:val="43386225"/>
    <w:rsid w:val="43394E3A"/>
    <w:rsid w:val="45FE7152"/>
    <w:rsid w:val="470D6864"/>
    <w:rsid w:val="47607D88"/>
    <w:rsid w:val="47E0086D"/>
    <w:rsid w:val="480212E4"/>
    <w:rsid w:val="491E3B82"/>
    <w:rsid w:val="49BD45E1"/>
    <w:rsid w:val="4A05330E"/>
    <w:rsid w:val="4A271F13"/>
    <w:rsid w:val="4A9B19DD"/>
    <w:rsid w:val="4B744305"/>
    <w:rsid w:val="4BF4363A"/>
    <w:rsid w:val="4C9B3C21"/>
    <w:rsid w:val="4DFA2A19"/>
    <w:rsid w:val="4E12358D"/>
    <w:rsid w:val="4F6B3034"/>
    <w:rsid w:val="4FC84E27"/>
    <w:rsid w:val="50B94D10"/>
    <w:rsid w:val="51023978"/>
    <w:rsid w:val="510E0CFA"/>
    <w:rsid w:val="525C5A95"/>
    <w:rsid w:val="52D376D0"/>
    <w:rsid w:val="53715570"/>
    <w:rsid w:val="54913DAC"/>
    <w:rsid w:val="54C4717D"/>
    <w:rsid w:val="54E0682C"/>
    <w:rsid w:val="55DA1B48"/>
    <w:rsid w:val="56882F23"/>
    <w:rsid w:val="575925A3"/>
    <w:rsid w:val="581D2BE2"/>
    <w:rsid w:val="584B0697"/>
    <w:rsid w:val="594B0611"/>
    <w:rsid w:val="5963595B"/>
    <w:rsid w:val="5B421396"/>
    <w:rsid w:val="5BC42CC1"/>
    <w:rsid w:val="5BCE2AF0"/>
    <w:rsid w:val="5BE84ECF"/>
    <w:rsid w:val="5C7557DB"/>
    <w:rsid w:val="5CF90D64"/>
    <w:rsid w:val="5D20477F"/>
    <w:rsid w:val="5D652D23"/>
    <w:rsid w:val="5DA36927"/>
    <w:rsid w:val="5EB160D1"/>
    <w:rsid w:val="5FDB5661"/>
    <w:rsid w:val="60730C88"/>
    <w:rsid w:val="60966616"/>
    <w:rsid w:val="612540C5"/>
    <w:rsid w:val="6295012C"/>
    <w:rsid w:val="62FC0873"/>
    <w:rsid w:val="63425764"/>
    <w:rsid w:val="651925F1"/>
    <w:rsid w:val="6573410F"/>
    <w:rsid w:val="65DA0729"/>
    <w:rsid w:val="65FE289A"/>
    <w:rsid w:val="665449A4"/>
    <w:rsid w:val="66772075"/>
    <w:rsid w:val="668A09CB"/>
    <w:rsid w:val="67591C5B"/>
    <w:rsid w:val="675C1401"/>
    <w:rsid w:val="67F46A97"/>
    <w:rsid w:val="67F80D9E"/>
    <w:rsid w:val="68293EC4"/>
    <w:rsid w:val="68956952"/>
    <w:rsid w:val="69D177F8"/>
    <w:rsid w:val="6AB46016"/>
    <w:rsid w:val="6B8F0831"/>
    <w:rsid w:val="6BE14CCA"/>
    <w:rsid w:val="6C4B643E"/>
    <w:rsid w:val="6C960BD5"/>
    <w:rsid w:val="6D6303D9"/>
    <w:rsid w:val="6E9D32B2"/>
    <w:rsid w:val="703C677C"/>
    <w:rsid w:val="70FA4A5A"/>
    <w:rsid w:val="70FF55AB"/>
    <w:rsid w:val="71B42B40"/>
    <w:rsid w:val="71CF5657"/>
    <w:rsid w:val="73700F48"/>
    <w:rsid w:val="739B0B7F"/>
    <w:rsid w:val="7487479C"/>
    <w:rsid w:val="748D503C"/>
    <w:rsid w:val="749B318A"/>
    <w:rsid w:val="75671CEE"/>
    <w:rsid w:val="769C2B02"/>
    <w:rsid w:val="76AD475B"/>
    <w:rsid w:val="772B7FA1"/>
    <w:rsid w:val="775A3E3A"/>
    <w:rsid w:val="77C41863"/>
    <w:rsid w:val="77EB5C21"/>
    <w:rsid w:val="781C5926"/>
    <w:rsid w:val="78AB6682"/>
    <w:rsid w:val="791903FB"/>
    <w:rsid w:val="7988018F"/>
    <w:rsid w:val="79B31CB8"/>
    <w:rsid w:val="79C8563A"/>
    <w:rsid w:val="7A1A3ADE"/>
    <w:rsid w:val="7A2702C2"/>
    <w:rsid w:val="7C2032FD"/>
    <w:rsid w:val="7C2733A5"/>
    <w:rsid w:val="7D307DB8"/>
    <w:rsid w:val="7DA13DC0"/>
    <w:rsid w:val="7DB859C6"/>
    <w:rsid w:val="7E121EB2"/>
    <w:rsid w:val="7E3B222A"/>
    <w:rsid w:val="7E904EA3"/>
    <w:rsid w:val="7ECF3FCA"/>
    <w:rsid w:val="7EE06114"/>
    <w:rsid w:val="7EFC0806"/>
    <w:rsid w:val="7FA0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rPr>
      <w:kern w:val="2"/>
      <w:sz w:val="21"/>
      <w:szCs w:val="24"/>
    </w:rPr>
  </w:style>
  <w:style w:type="paragraph" w:styleId="3">
    <w:name w:val="Body Text Indent"/>
    <w:basedOn w:val="1"/>
    <w:qFormat/>
    <w:uiPriority w:val="0"/>
    <w:pPr>
      <w:spacing w:after="120"/>
      <w:ind w:left="420" w:leftChars="200"/>
    </w:pPr>
    <w:rPr>
      <w:kern w:val="0"/>
      <w:szCs w:val="20"/>
    </w:rPr>
  </w:style>
  <w:style w:type="paragraph" w:styleId="4">
    <w:name w:val="annotation text"/>
    <w:basedOn w:val="1"/>
    <w:autoRedefine/>
    <w:qFormat/>
    <w:uiPriority w:val="0"/>
    <w:pPr>
      <w:jc w:val="left"/>
    </w:pPr>
  </w:style>
  <w:style w:type="paragraph" w:styleId="5">
    <w:name w:val="Date"/>
    <w:basedOn w:val="1"/>
    <w:next w:val="1"/>
    <w:link w:val="16"/>
    <w:autoRedefine/>
    <w:qFormat/>
    <w:uiPriority w:val="0"/>
    <w:pPr>
      <w:ind w:left="100" w:leftChars="2500"/>
    </w:pPr>
  </w:style>
  <w:style w:type="paragraph" w:styleId="6">
    <w:name w:val="Body Text Indent 2"/>
    <w:basedOn w:val="1"/>
    <w:autoRedefine/>
    <w:unhideWhenUsed/>
    <w:qFormat/>
    <w:uiPriority w:val="99"/>
    <w:pPr>
      <w:spacing w:after="120" w:line="480" w:lineRule="auto"/>
      <w:ind w:left="420" w:leftChars="200"/>
    </w:pPr>
  </w:style>
  <w:style w:type="paragraph" w:styleId="7">
    <w:name w:val="Balloon Text"/>
    <w:basedOn w:val="1"/>
    <w:link w:val="17"/>
    <w:autoRedefine/>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heading"/>
    <w:basedOn w:val="1"/>
    <w:next w:val="1"/>
    <w:autoRedefine/>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日期 字符"/>
    <w:link w:val="5"/>
    <w:autoRedefine/>
    <w:qFormat/>
    <w:uiPriority w:val="0"/>
    <w:rPr>
      <w:kern w:val="2"/>
      <w:sz w:val="21"/>
      <w:szCs w:val="24"/>
    </w:rPr>
  </w:style>
  <w:style w:type="character" w:customStyle="1" w:styleId="17">
    <w:name w:val="批注框文本 字符"/>
    <w:link w:val="7"/>
    <w:autoRedefine/>
    <w:qFormat/>
    <w:uiPriority w:val="0"/>
    <w:rPr>
      <w:kern w:val="2"/>
      <w:sz w:val="18"/>
      <w:szCs w:val="18"/>
    </w:rPr>
  </w:style>
  <w:style w:type="character" w:customStyle="1" w:styleId="18">
    <w:name w:val="页脚 字符"/>
    <w:link w:val="8"/>
    <w:autoRedefine/>
    <w:qFormat/>
    <w:uiPriority w:val="99"/>
    <w:rPr>
      <w:kern w:val="2"/>
      <w:sz w:val="18"/>
      <w:szCs w:val="18"/>
    </w:rPr>
  </w:style>
  <w:style w:type="character" w:customStyle="1" w:styleId="19">
    <w:name w:val="页眉 字符"/>
    <w:link w:val="9"/>
    <w:autoRedefine/>
    <w:qFormat/>
    <w:uiPriority w:val="0"/>
    <w:rPr>
      <w:kern w:val="2"/>
      <w:sz w:val="18"/>
      <w:szCs w:val="18"/>
    </w:rPr>
  </w:style>
  <w:style w:type="paragraph" w:customStyle="1" w:styleId="20">
    <w:name w:val="新格式表"/>
    <w:basedOn w:val="1"/>
    <w:autoRedefine/>
    <w:qFormat/>
    <w:uiPriority w:val="0"/>
    <w:pPr>
      <w:adjustRightInd w:val="0"/>
      <w:snapToGrid w:val="0"/>
      <w:spacing w:line="0" w:lineRule="atLeast"/>
      <w:jc w:val="center"/>
    </w:pPr>
    <w:rPr>
      <w:color w:val="000000"/>
      <w:kern w:val="0"/>
      <w:szCs w:val="21"/>
    </w:rPr>
  </w:style>
  <w:style w:type="paragraph" w:styleId="2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2382</Words>
  <Characters>2734</Characters>
  <Lines>14</Lines>
  <Paragraphs>3</Paragraphs>
  <TotalTime>125</TotalTime>
  <ScaleCrop>false</ScaleCrop>
  <LinksUpToDate>false</LinksUpToDate>
  <CharactersWithSpaces>2761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2023-12-05T02:23:00Z</dcterms:created>
  <dc:creator>User</dc:creator>
  <cp:lastModifiedBy>SPJ</cp:lastModifiedBy>
  <cp:lastPrinted>2024-09-12T02:26:08Z</cp:lastPrinted>
  <dcterms:modified xsi:type="dcterms:W3CDTF">2024-09-12T06:19:26Z</dcterms:modified>
  <dc:title>连云港高新区技术产业开发区党工委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0515DE81CEC04AB1B7BFD19B5B0ECABA_13</vt:lpwstr>
  </property>
</Properties>
</file>