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33C13">
      <w:pPr>
        <w:pStyle w:val="2"/>
        <w:keepNext w:val="0"/>
        <w:keepLines w:val="0"/>
        <w:pageBreakBefore w:val="0"/>
        <w:kinsoku/>
        <w:wordWrap w:val="0"/>
        <w:overflowPunct/>
        <w:topLinePunct w:val="0"/>
        <w:autoSpaceDE/>
        <w:autoSpaceDN/>
        <w:bidi w:val="0"/>
        <w:spacing w:line="540" w:lineRule="exact"/>
        <w:jc w:val="both"/>
        <w:textAlignment w:val="auto"/>
        <w:rPr>
          <w:color w:val="auto"/>
        </w:rPr>
      </w:pPr>
    </w:p>
    <w:p w14:paraId="196815EC">
      <w:pPr>
        <w:pStyle w:val="2"/>
        <w:keepNext w:val="0"/>
        <w:keepLines w:val="0"/>
        <w:pageBreakBefore w:val="0"/>
        <w:kinsoku/>
        <w:wordWrap w:val="0"/>
        <w:overflowPunct/>
        <w:topLinePunct w:val="0"/>
        <w:autoSpaceDE/>
        <w:autoSpaceDN/>
        <w:bidi w:val="0"/>
        <w:spacing w:line="540" w:lineRule="exact"/>
        <w:textAlignment w:val="auto"/>
        <w:rPr>
          <w:color w:val="auto"/>
        </w:rPr>
      </w:pPr>
    </w:p>
    <w:p w14:paraId="2F058D4A">
      <w:pPr>
        <w:keepNext w:val="0"/>
        <w:keepLines w:val="0"/>
        <w:pageBreakBefore w:val="0"/>
        <w:kinsoku/>
        <w:wordWrap w:val="0"/>
        <w:overflowPunct/>
        <w:topLinePunct w:val="0"/>
        <w:autoSpaceDE/>
        <w:autoSpaceDN/>
        <w:bidi w:val="0"/>
        <w:spacing w:line="540" w:lineRule="exact"/>
        <w:jc w:val="right"/>
        <w:textAlignment w:val="auto"/>
        <w:rPr>
          <w:color w:val="auto"/>
          <w:sz w:val="30"/>
          <w:szCs w:val="30"/>
          <w:highlight w:val="none"/>
        </w:rPr>
      </w:pPr>
      <w:r>
        <w:rPr>
          <w:rFonts w:hint="eastAsia" w:ascii="楷体" w:hAnsi="楷体" w:eastAsia="楷体" w:cs="楷体"/>
          <w:color w:val="auto"/>
          <w:sz w:val="30"/>
          <w:szCs w:val="30"/>
          <w:highlight w:val="none"/>
        </w:rPr>
        <w:t>连高环表复</w:t>
      </w:r>
      <w:r>
        <w:rPr>
          <w:rFonts w:eastAsia="楷体"/>
          <w:color w:val="auto"/>
          <w:sz w:val="30"/>
          <w:szCs w:val="30"/>
          <w:highlight w:val="none"/>
        </w:rPr>
        <w:t>〔202</w:t>
      </w:r>
      <w:r>
        <w:rPr>
          <w:rFonts w:hint="eastAsia" w:eastAsia="楷体"/>
          <w:color w:val="auto"/>
          <w:sz w:val="30"/>
          <w:szCs w:val="30"/>
          <w:highlight w:val="none"/>
          <w:lang w:val="en-US" w:eastAsia="zh-CN"/>
        </w:rPr>
        <w:t>5</w:t>
      </w:r>
      <w:r>
        <w:rPr>
          <w:rFonts w:eastAsia="楷体"/>
          <w:color w:val="auto"/>
          <w:sz w:val="30"/>
          <w:szCs w:val="30"/>
          <w:highlight w:val="none"/>
        </w:rPr>
        <w:t>〕</w:t>
      </w:r>
      <w:r>
        <w:rPr>
          <w:rFonts w:hint="eastAsia" w:eastAsia="楷体"/>
          <w:color w:val="auto"/>
          <w:sz w:val="30"/>
          <w:szCs w:val="30"/>
          <w:highlight w:val="none"/>
          <w:lang w:val="en-US" w:eastAsia="zh-CN"/>
        </w:rPr>
        <w:t>1</w:t>
      </w:r>
      <w:r>
        <w:rPr>
          <w:rFonts w:eastAsia="楷体"/>
          <w:color w:val="auto"/>
          <w:sz w:val="30"/>
          <w:szCs w:val="30"/>
          <w:highlight w:val="none"/>
        </w:rPr>
        <w:t>号</w:t>
      </w:r>
    </w:p>
    <w:p w14:paraId="41FD31F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eastAsia="方正小标宋简体"/>
          <w:bCs/>
          <w:color w:val="auto"/>
          <w:spacing w:val="-11"/>
          <w:sz w:val="44"/>
          <w:szCs w:val="44"/>
          <w:highlight w:val="none"/>
        </w:rPr>
      </w:pPr>
      <w:r>
        <w:rPr>
          <w:rFonts w:eastAsia="方正小标宋简体"/>
          <w:bCs/>
          <w:color w:val="auto"/>
          <w:spacing w:val="-11"/>
          <w:sz w:val="44"/>
          <w:szCs w:val="44"/>
          <w:highlight w:val="none"/>
        </w:rPr>
        <w:t>关于对</w:t>
      </w:r>
      <w:r>
        <w:rPr>
          <w:rFonts w:hint="eastAsia" w:eastAsia="方正小标宋简体"/>
          <w:bCs/>
          <w:color w:val="auto"/>
          <w:spacing w:val="-11"/>
          <w:sz w:val="44"/>
          <w:szCs w:val="44"/>
          <w:highlight w:val="none"/>
          <w:lang w:eastAsia="zh-CN"/>
        </w:rPr>
        <w:t>连云港市康利达玻璃有限公司</w:t>
      </w:r>
      <w:r>
        <w:rPr>
          <w:rFonts w:hint="eastAsia" w:eastAsia="方正小标宋简体"/>
          <w:bCs/>
          <w:color w:val="auto"/>
          <w:spacing w:val="-11"/>
          <w:sz w:val="44"/>
          <w:szCs w:val="44"/>
          <w:highlight w:val="none"/>
          <w:lang w:val="en-US" w:eastAsia="zh-CN"/>
        </w:rPr>
        <w:t>年产40万平米百叶夹胶玻璃项目</w:t>
      </w:r>
      <w:r>
        <w:rPr>
          <w:rFonts w:eastAsia="方正小标宋简体"/>
          <w:bCs/>
          <w:color w:val="auto"/>
          <w:spacing w:val="-11"/>
          <w:sz w:val="44"/>
          <w:szCs w:val="44"/>
          <w:highlight w:val="none"/>
        </w:rPr>
        <w:t>环境影响报告表的批复</w:t>
      </w:r>
    </w:p>
    <w:p w14:paraId="77DB3DB2">
      <w:pPr>
        <w:keepNext w:val="0"/>
        <w:keepLines w:val="0"/>
        <w:pageBreakBefore w:val="0"/>
        <w:kinsoku/>
        <w:wordWrap w:val="0"/>
        <w:overflowPunct/>
        <w:topLinePunct w:val="0"/>
        <w:autoSpaceDE/>
        <w:autoSpaceDN/>
        <w:bidi w:val="0"/>
        <w:adjustRightInd w:val="0"/>
        <w:spacing w:line="540" w:lineRule="exact"/>
        <w:ind w:firstLine="640" w:firstLineChars="200"/>
        <w:textAlignment w:val="auto"/>
        <w:rPr>
          <w:rFonts w:eastAsia="仿宋_GB2312"/>
          <w:color w:val="auto"/>
          <w:sz w:val="32"/>
          <w:szCs w:val="32"/>
        </w:rPr>
      </w:pPr>
    </w:p>
    <w:p w14:paraId="2B2B4B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连云港市康利达玻璃有限公司：</w:t>
      </w:r>
    </w:p>
    <w:p w14:paraId="3165FA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你公司委托江苏颐和工程技术咨询有限公司编制的《连云港市康利达玻璃有限公司年产40万平米百叶夹胶玻璃项目环境影响报告表》(项目代码：2406-320772-89-02-242554，以下简称《报告表》)及相关资料收悉。经研究，批复如下：</w:t>
      </w:r>
    </w:p>
    <w:p w14:paraId="722D2BC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highlight w:val="none"/>
          <w:lang w:val="en-US" w:eastAsia="zh-CN"/>
        </w:rPr>
      </w:pPr>
      <w:r>
        <w:rPr>
          <w:rFonts w:hint="eastAsia" w:eastAsia="仿宋_GB2312"/>
          <w:color w:val="auto"/>
          <w:sz w:val="32"/>
          <w:szCs w:val="32"/>
          <w:lang w:val="en-US" w:eastAsia="zh-CN"/>
        </w:rPr>
        <w:t>一、项目为扩建，位于连云港高新区新浦工业园莱克路96号。项目总投资2000万元</w:t>
      </w:r>
      <w:r>
        <w:rPr>
          <w:rFonts w:hint="eastAsia" w:eastAsia="仿宋_GB2312"/>
          <w:color w:val="auto"/>
          <w:sz w:val="32"/>
          <w:szCs w:val="32"/>
          <w:highlight w:val="none"/>
          <w:lang w:val="en-US" w:eastAsia="zh-CN"/>
        </w:rPr>
        <w:t>，其中环保投资50万元，</w:t>
      </w:r>
      <w:r>
        <w:rPr>
          <w:rFonts w:hint="eastAsia" w:eastAsia="仿宋_GB2312"/>
          <w:color w:val="auto"/>
          <w:sz w:val="32"/>
          <w:szCs w:val="32"/>
          <w:lang w:val="en-US" w:eastAsia="zh-CN"/>
        </w:rPr>
        <w:t>租赁现有厂房，不新增建筑面积，购置清洗机、贴膜机、热压机等设备，建设百叶、夹胶玻璃生产线，</w:t>
      </w:r>
      <w:r>
        <w:rPr>
          <w:rFonts w:hint="eastAsia" w:eastAsia="仿宋_GB2312"/>
          <w:color w:val="auto"/>
          <w:sz w:val="32"/>
          <w:szCs w:val="32"/>
          <w:highlight w:val="none"/>
          <w:lang w:val="en-US" w:eastAsia="zh-CN"/>
        </w:rPr>
        <w:t>建成后将形成年产</w:t>
      </w:r>
      <w:r>
        <w:rPr>
          <w:rFonts w:hint="eastAsia" w:eastAsia="仿宋_GB2312"/>
          <w:color w:val="auto"/>
          <w:sz w:val="32"/>
          <w:szCs w:val="32"/>
          <w:lang w:val="en-US" w:eastAsia="zh-CN"/>
        </w:rPr>
        <w:t>40万平米百叶夹胶玻璃</w:t>
      </w:r>
      <w:r>
        <w:rPr>
          <w:rFonts w:hint="eastAsia" w:eastAsia="仿宋_GB2312"/>
          <w:color w:val="auto"/>
          <w:sz w:val="32"/>
          <w:szCs w:val="32"/>
          <w:highlight w:val="none"/>
          <w:lang w:val="en-US" w:eastAsia="zh-CN"/>
        </w:rPr>
        <w:t>的生产能力。</w:t>
      </w:r>
    </w:p>
    <w:p w14:paraId="3497B3A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二、根据《报告表》的论述及评价结论，在落实《报告表》中提出的各项污染防治、风险防范措施的前提下，从生态环境角度考虑，你公司按《报告表》所述内容建设具有环境可行性。</w:t>
      </w:r>
    </w:p>
    <w:p w14:paraId="615DBF4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三、在项目工程设计、建设和生产的环境管理中，你公司须全过程贯彻清洁生产理念，落实《报告表》中提出的各项污染防治措施，确保各类污染物稳定达标排放，并须着重落实以下要求：</w:t>
      </w:r>
    </w:p>
    <w:p w14:paraId="30C2F6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eastAsia="仿宋_GB2312"/>
          <w:color w:val="auto"/>
          <w:sz w:val="32"/>
          <w:szCs w:val="32"/>
          <w:lang w:val="en-US" w:eastAsia="zh-CN"/>
        </w:rPr>
      </w:pPr>
      <w:r>
        <w:rPr>
          <w:rFonts w:hint="eastAsia" w:eastAsia="仿宋_GB2312"/>
          <w:color w:val="auto"/>
          <w:sz w:val="32"/>
          <w:szCs w:val="32"/>
          <w:lang w:eastAsia="zh-CN"/>
        </w:rPr>
        <w:t>（一）</w:t>
      </w:r>
      <w:r>
        <w:rPr>
          <w:rFonts w:eastAsia="仿宋_GB2312"/>
          <w:color w:val="auto"/>
          <w:sz w:val="32"/>
          <w:szCs w:val="32"/>
        </w:rPr>
        <w:t>落实废气污染防治措施。</w:t>
      </w:r>
      <w:r>
        <w:rPr>
          <w:rFonts w:hint="eastAsia" w:eastAsia="仿宋_GB2312"/>
          <w:color w:val="auto"/>
          <w:sz w:val="32"/>
          <w:szCs w:val="32"/>
          <w:lang w:eastAsia="zh-CN"/>
        </w:rPr>
        <w:t>严格落实《报告表》提出的废气污染防治措施，</w:t>
      </w:r>
      <w:r>
        <w:rPr>
          <w:rFonts w:hint="eastAsia" w:eastAsia="仿宋_GB2312"/>
          <w:color w:val="auto"/>
          <w:sz w:val="32"/>
          <w:szCs w:val="32"/>
          <w:highlight w:val="none"/>
          <w:lang w:eastAsia="zh-CN"/>
        </w:rPr>
        <w:t>确保废气稳定达标排放</w:t>
      </w:r>
      <w:r>
        <w:rPr>
          <w:rFonts w:hint="eastAsia" w:eastAsia="仿宋_GB2312"/>
          <w:color w:val="auto"/>
          <w:sz w:val="32"/>
          <w:szCs w:val="32"/>
          <w:lang w:eastAsia="zh-CN"/>
        </w:rPr>
        <w:t>。项目开片工序产生的颗粒物经集气罩收集，</w:t>
      </w:r>
      <w:r>
        <w:rPr>
          <w:rFonts w:hint="eastAsia" w:eastAsia="仿宋_GB2312"/>
          <w:color w:val="auto"/>
          <w:sz w:val="32"/>
          <w:szCs w:val="32"/>
          <w:lang w:val="en-US" w:eastAsia="zh-CN"/>
        </w:rPr>
        <w:t>进入“过滤棉+二级活性炭吸附装置”处理达标后，通过不低于15米高排气筒排放；打胶、合片、封胶、热压和冷却等工序产生的非甲烷总烃经集气罩收集，危废暂存间废气密闭收集后，一并进入“二级活性炭吸附装置”处理达标后，通过不低于15米高排气筒排放。灌装粉尘经设置的喷雾装置洒水降尘后无组织排放。</w:t>
      </w:r>
    </w:p>
    <w:p w14:paraId="7D0665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本项目产生的非甲烷总烃、</w:t>
      </w:r>
      <w:r>
        <w:rPr>
          <w:rFonts w:hint="eastAsia" w:ascii="Times New Roman" w:hAnsi="Times New Roman" w:eastAsia="仿宋_GB2312" w:cs="Times New Roman"/>
          <w:color w:val="auto"/>
          <w:sz w:val="32"/>
          <w:szCs w:val="32"/>
          <w:lang w:val="en-US" w:eastAsia="zh-CN"/>
        </w:rPr>
        <w:t>颗粒物执行《大气污染物综合排放标准》(DB32/4041-2021)</w:t>
      </w:r>
      <w:r>
        <w:rPr>
          <w:rFonts w:hint="eastAsia" w:eastAsia="仿宋_GB2312" w:cs="Times New Roman"/>
          <w:color w:val="auto"/>
          <w:sz w:val="32"/>
          <w:szCs w:val="32"/>
          <w:lang w:val="en-US" w:eastAsia="zh-CN"/>
        </w:rPr>
        <w:t>中相关标准限值</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 xml:space="preserve"> </w:t>
      </w:r>
    </w:p>
    <w:p w14:paraId="3F1A62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（二）加强水污染防治。按“雨污分流、</w:t>
      </w:r>
      <w:r>
        <w:rPr>
          <w:rFonts w:hint="eastAsia" w:ascii="Times New Roman" w:hAnsi="Times New Roman" w:eastAsia="仿宋_GB2312" w:cs="Times New Roman"/>
          <w:color w:val="auto"/>
          <w:sz w:val="32"/>
          <w:szCs w:val="32"/>
          <w:highlight w:val="none"/>
          <w:lang w:val="en-US" w:eastAsia="zh-CN"/>
        </w:rPr>
        <w:t>分质处理”</w:t>
      </w:r>
      <w:r>
        <w:rPr>
          <w:rFonts w:hint="eastAsia" w:ascii="Times New Roman" w:hAnsi="Times New Roman" w:eastAsia="仿宋_GB2312" w:cs="Times New Roman"/>
          <w:color w:val="auto"/>
          <w:sz w:val="32"/>
          <w:szCs w:val="32"/>
          <w:lang w:val="en-US" w:eastAsia="zh-CN"/>
        </w:rPr>
        <w:t>原则设计、建设厂区给排水系统</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项目</w:t>
      </w:r>
      <w:r>
        <w:rPr>
          <w:rFonts w:hint="eastAsia" w:eastAsia="仿宋_GB2312" w:cs="Times New Roman"/>
          <w:color w:val="auto"/>
          <w:sz w:val="32"/>
          <w:szCs w:val="32"/>
          <w:lang w:val="en-US" w:eastAsia="zh-CN"/>
        </w:rPr>
        <w:t>运营期</w:t>
      </w:r>
      <w:r>
        <w:rPr>
          <w:rFonts w:hint="eastAsia" w:ascii="Times New Roman" w:hAnsi="Times New Roman" w:eastAsia="仿宋_GB2312" w:cs="Times New Roman"/>
          <w:color w:val="auto"/>
          <w:sz w:val="32"/>
          <w:szCs w:val="32"/>
          <w:lang w:val="en-US" w:eastAsia="zh-CN"/>
        </w:rPr>
        <w:t>废水主要是</w:t>
      </w:r>
      <w:r>
        <w:rPr>
          <w:rFonts w:hint="eastAsia" w:eastAsia="仿宋_GB2312" w:cs="Times New Roman"/>
          <w:color w:val="auto"/>
          <w:sz w:val="32"/>
          <w:szCs w:val="32"/>
          <w:lang w:val="en-US" w:eastAsia="zh-CN"/>
        </w:rPr>
        <w:t>清洗、磨边废水、食堂废水和</w:t>
      </w:r>
      <w:r>
        <w:rPr>
          <w:rFonts w:hint="eastAsia" w:ascii="Times New Roman" w:hAnsi="Times New Roman" w:eastAsia="仿宋_GB2312" w:cs="Times New Roman"/>
          <w:color w:val="auto"/>
          <w:sz w:val="32"/>
          <w:szCs w:val="32"/>
          <w:lang w:val="en-US" w:eastAsia="zh-CN"/>
        </w:rPr>
        <w:t>生活污水</w:t>
      </w:r>
      <w:r>
        <w:rPr>
          <w:rFonts w:hint="eastAsia" w:eastAsia="仿宋_GB2312" w:cs="Times New Roman"/>
          <w:color w:val="auto"/>
          <w:sz w:val="32"/>
          <w:szCs w:val="32"/>
          <w:lang w:val="en-US" w:eastAsia="zh-CN"/>
        </w:rPr>
        <w:t>。清洗、磨边废水经沉淀池处理达标后回用，不外排；食堂废水经隔油池处理，与生活污水一起进</w:t>
      </w:r>
      <w:r>
        <w:rPr>
          <w:rFonts w:hint="eastAsia" w:ascii="Times New Roman" w:hAnsi="Times New Roman" w:eastAsia="仿宋_GB2312" w:cs="Times New Roman"/>
          <w:color w:val="auto"/>
          <w:sz w:val="32"/>
          <w:szCs w:val="32"/>
          <w:lang w:val="en-US" w:eastAsia="zh-CN"/>
        </w:rPr>
        <w:t>化粪池处理</w:t>
      </w:r>
      <w:r>
        <w:rPr>
          <w:rFonts w:hint="eastAsia" w:eastAsia="仿宋_GB2312" w:cs="Times New Roman"/>
          <w:color w:val="auto"/>
          <w:sz w:val="32"/>
          <w:szCs w:val="32"/>
          <w:lang w:val="en-US" w:eastAsia="zh-CN"/>
        </w:rPr>
        <w:t>后，接管至浦南</w:t>
      </w:r>
      <w:r>
        <w:rPr>
          <w:rFonts w:hint="eastAsia" w:ascii="Times New Roman" w:hAnsi="Times New Roman" w:eastAsia="仿宋_GB2312" w:cs="Times New Roman"/>
          <w:color w:val="auto"/>
          <w:sz w:val="32"/>
          <w:szCs w:val="32"/>
          <w:lang w:val="en-US" w:eastAsia="zh-CN"/>
        </w:rPr>
        <w:t>污水处理厂集中处理</w:t>
      </w:r>
      <w:r>
        <w:rPr>
          <w:rFonts w:hint="eastAsia" w:eastAsia="仿宋_GB2312" w:cs="Times New Roman"/>
          <w:color w:val="auto"/>
          <w:sz w:val="32"/>
          <w:szCs w:val="32"/>
          <w:lang w:val="en-US" w:eastAsia="zh-CN"/>
        </w:rPr>
        <w:t>，达标排放</w:t>
      </w:r>
      <w:r>
        <w:rPr>
          <w:rFonts w:hint="eastAsia" w:ascii="Times New Roman" w:hAnsi="Times New Roman" w:eastAsia="仿宋_GB2312" w:cs="Times New Roman"/>
          <w:color w:val="auto"/>
          <w:sz w:val="32"/>
          <w:szCs w:val="32"/>
          <w:lang w:val="en-US" w:eastAsia="zh-CN"/>
        </w:rPr>
        <w:t>。</w:t>
      </w:r>
    </w:p>
    <w:p w14:paraId="4C0F09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（三）加强噪声污染防治。按《报告表》要求，加强运行期管理，选用低噪声设备、噪声源合理布局</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建筑物隔声、设置减振等有效降噪措施，确保厂界噪声达到《工业企业厂界环境噪声排放标准》（GB12348-2008）</w:t>
      </w: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类标准。</w:t>
      </w:r>
    </w:p>
    <w:p w14:paraId="09B074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（四）落实固体废物污染防治措施。项目须按“资源化、减量化、无害化”的处置原则，落实</w:t>
      </w:r>
      <w:r>
        <w:rPr>
          <w:rFonts w:hint="eastAsia" w:eastAsia="仿宋_GB2312" w:cs="Times New Roman"/>
          <w:color w:val="auto"/>
          <w:sz w:val="32"/>
          <w:szCs w:val="32"/>
          <w:lang w:val="en-US" w:eastAsia="zh-CN"/>
        </w:rPr>
        <w:t>各类</w:t>
      </w:r>
      <w:r>
        <w:rPr>
          <w:rFonts w:hint="eastAsia" w:ascii="Times New Roman" w:hAnsi="Times New Roman" w:eastAsia="仿宋_GB2312" w:cs="Times New Roman"/>
          <w:color w:val="auto"/>
          <w:sz w:val="32"/>
          <w:szCs w:val="32"/>
          <w:lang w:val="en-US" w:eastAsia="zh-CN"/>
        </w:rPr>
        <w:t>固体废物的收集、贮存</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处置</w:t>
      </w:r>
      <w:r>
        <w:rPr>
          <w:rFonts w:hint="eastAsia" w:eastAsia="仿宋_GB2312" w:cs="Times New Roman"/>
          <w:color w:val="auto"/>
          <w:sz w:val="32"/>
          <w:szCs w:val="32"/>
          <w:lang w:val="en-US" w:eastAsia="zh-CN"/>
        </w:rPr>
        <w:t>和综合利用</w:t>
      </w:r>
      <w:r>
        <w:rPr>
          <w:rFonts w:hint="eastAsia" w:ascii="Times New Roman" w:hAnsi="Times New Roman" w:eastAsia="仿宋_GB2312" w:cs="Times New Roman"/>
          <w:color w:val="auto"/>
          <w:sz w:val="32"/>
          <w:szCs w:val="32"/>
          <w:lang w:val="en-US" w:eastAsia="zh-CN"/>
        </w:rPr>
        <w:t>措施。</w:t>
      </w:r>
      <w:r>
        <w:rPr>
          <w:rFonts w:hint="eastAsia" w:eastAsia="仿宋_GB2312" w:cs="Times New Roman"/>
          <w:color w:val="auto"/>
          <w:sz w:val="32"/>
          <w:szCs w:val="32"/>
          <w:lang w:val="en-US" w:eastAsia="zh-CN"/>
        </w:rPr>
        <w:t>项目废抹布、废活性炭、废胶桶、废机油、废劳保用品等危废收集至危废暂存库后，须委托具备危险废物处置资质的单位安全处置；项目一般固废物废玻璃边角料及不合格品、沉淀池沉渣、废铝材、废PVB边角料等收集后外售综合利用；废油脂和生活垃圾由环卫部门统一收集和处理。</w:t>
      </w:r>
      <w:r>
        <w:rPr>
          <w:rFonts w:hint="eastAsia" w:ascii="Times New Roman" w:hAnsi="Times New Roman" w:eastAsia="仿宋_GB2312" w:cs="Times New Roman"/>
          <w:color w:val="auto"/>
          <w:sz w:val="32"/>
          <w:szCs w:val="32"/>
          <w:lang w:val="en-US" w:eastAsia="zh-CN"/>
        </w:rPr>
        <w:t>一般工业固废贮存、处置执行《一般工业固体废物贮存和填埋污染控制标准》（GB18599-2020)中相关标准。</w:t>
      </w:r>
      <w:r>
        <w:rPr>
          <w:rFonts w:hint="eastAsia" w:eastAsia="仿宋_GB2312" w:cs="Times New Roman"/>
          <w:color w:val="auto"/>
          <w:sz w:val="32"/>
          <w:szCs w:val="32"/>
          <w:lang w:val="en-US" w:eastAsia="zh-CN"/>
        </w:rPr>
        <w:t>危险废物贮存、运输执行《危险废物贮存污染控制标准》（GB18597-2023）、《江苏省固体废物全过程环境监管工作意见》(苏环办</w:t>
      </w:r>
      <w:r>
        <w:rPr>
          <w:rFonts w:eastAsia="楷体"/>
          <w:color w:val="auto"/>
          <w:sz w:val="30"/>
          <w:szCs w:val="30"/>
          <w:highlight w:val="none"/>
        </w:rPr>
        <w:t>〔202</w:t>
      </w:r>
      <w:r>
        <w:rPr>
          <w:rFonts w:hint="eastAsia" w:eastAsia="楷体"/>
          <w:color w:val="auto"/>
          <w:sz w:val="30"/>
          <w:szCs w:val="30"/>
          <w:highlight w:val="none"/>
          <w:lang w:val="en-US" w:eastAsia="zh-CN"/>
        </w:rPr>
        <w:t>4</w:t>
      </w:r>
      <w:r>
        <w:rPr>
          <w:rFonts w:eastAsia="楷体"/>
          <w:color w:val="auto"/>
          <w:sz w:val="30"/>
          <w:szCs w:val="30"/>
          <w:highlight w:val="none"/>
        </w:rPr>
        <w:t>〕</w:t>
      </w:r>
      <w:r>
        <w:rPr>
          <w:rFonts w:hint="eastAsia" w:eastAsia="仿宋_GB2312" w:cs="Times New Roman"/>
          <w:color w:val="auto"/>
          <w:sz w:val="32"/>
          <w:szCs w:val="32"/>
          <w:lang w:val="en-US" w:eastAsia="zh-CN"/>
        </w:rPr>
        <w:t>16号)中的相关规定。</w:t>
      </w:r>
    </w:p>
    <w:p w14:paraId="25228A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（五）按照《江苏省排污口设置及规范化整治管理办法》要求设置各类排污口和标志。按照《报告表》提出的环境管理与监测计划实施日常环境管理与监测。</w:t>
      </w:r>
    </w:p>
    <w:p w14:paraId="4E4F6E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六</w:t>
      </w:r>
      <w:r>
        <w:rPr>
          <w:rFonts w:hint="eastAsia" w:ascii="Times New Roman" w:hAnsi="Times New Roman" w:eastAsia="仿宋_GB2312" w:cs="Times New Roman"/>
          <w:color w:val="auto"/>
          <w:sz w:val="32"/>
          <w:szCs w:val="32"/>
          <w:lang w:val="en-US" w:eastAsia="zh-CN"/>
        </w:rPr>
        <w:t>）加强设备运行及环境风险管理，落实《报告表》提出的风险防范措施，编制突发环境事故应急预案。采取切实可行的工程控制和管理措施，防止发生污染事故。</w:t>
      </w:r>
    </w:p>
    <w:p w14:paraId="67CAF0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七</w:t>
      </w:r>
      <w:r>
        <w:rPr>
          <w:rFonts w:hint="eastAsia" w:ascii="Times New Roman" w:hAnsi="Times New Roman" w:eastAsia="仿宋_GB2312" w:cs="Times New Roman"/>
          <w:color w:val="auto"/>
          <w:sz w:val="32"/>
          <w:szCs w:val="32"/>
          <w:lang w:val="en-US" w:eastAsia="zh-CN"/>
        </w:rPr>
        <w:t>）开展环境治理设施安全风险识别管控，健全内部污染防治设施稳定运行和管理责任制度，严格依据标准规范建设环境治理设施，确保环境治理设施安全、稳定、有效运行。</w:t>
      </w:r>
    </w:p>
    <w:p w14:paraId="6E2B70C2">
      <w:pPr>
        <w:keepNext w:val="0"/>
        <w:keepLines w:val="0"/>
        <w:pageBreakBefore w:val="0"/>
        <w:kinsoku/>
        <w:wordWrap w:val="0"/>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rPr>
      </w:pPr>
      <w:r>
        <w:rPr>
          <w:rFonts w:hint="eastAsia" w:eastAsia="仿宋_GB2312"/>
          <w:color w:val="auto"/>
          <w:sz w:val="32"/>
          <w:szCs w:val="32"/>
          <w:lang w:val="en-US" w:eastAsia="zh-CN"/>
        </w:rPr>
        <w:t>四、</w:t>
      </w:r>
      <w:r>
        <w:rPr>
          <w:rFonts w:eastAsia="仿宋_GB2312"/>
          <w:color w:val="auto"/>
          <w:sz w:val="32"/>
          <w:szCs w:val="32"/>
        </w:rPr>
        <w:t>本项目实施后，</w:t>
      </w:r>
      <w:r>
        <w:rPr>
          <w:rFonts w:hint="eastAsia" w:eastAsia="仿宋_GB2312"/>
          <w:color w:val="auto"/>
          <w:sz w:val="32"/>
          <w:szCs w:val="32"/>
          <w:lang w:eastAsia="zh-CN"/>
        </w:rPr>
        <w:t>主要</w:t>
      </w:r>
      <w:r>
        <w:rPr>
          <w:rFonts w:eastAsia="仿宋_GB2312"/>
          <w:color w:val="auto"/>
          <w:sz w:val="32"/>
          <w:szCs w:val="32"/>
        </w:rPr>
        <w:t>污染物年排放总量初步核定为：</w:t>
      </w:r>
    </w:p>
    <w:p w14:paraId="307F4002">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pacing w:val="0"/>
          <w:sz w:val="32"/>
          <w:szCs w:val="32"/>
          <w:lang w:val="en-US" w:eastAsia="zh-CN"/>
        </w:rPr>
      </w:pPr>
      <w:r>
        <w:rPr>
          <w:rFonts w:hint="eastAsia" w:eastAsia="仿宋_GB2312" w:cs="Times New Roman"/>
          <w:color w:val="auto"/>
          <w:sz w:val="32"/>
          <w:szCs w:val="32"/>
          <w:lang w:eastAsia="zh-CN"/>
        </w:rPr>
        <w:t>大气污染物（有组织）：</w:t>
      </w:r>
      <w:r>
        <w:rPr>
          <w:rFonts w:hint="eastAsia" w:eastAsia="仿宋_GB2312" w:cs="Times New Roman"/>
          <w:color w:val="auto"/>
          <w:spacing w:val="0"/>
          <w:sz w:val="32"/>
          <w:szCs w:val="32"/>
          <w:lang w:eastAsia="zh-CN"/>
        </w:rPr>
        <w:t>非甲烷总烃</w:t>
      </w:r>
      <w:r>
        <w:rPr>
          <w:rFonts w:hint="default" w:ascii="Times New Roman" w:hAnsi="Times New Roman" w:eastAsia="仿宋_GB2312" w:cs="Times New Roman"/>
          <w:color w:val="auto"/>
          <w:spacing w:val="0"/>
          <w:sz w:val="32"/>
          <w:szCs w:val="32"/>
          <w:lang w:val="en-US" w:eastAsia="zh-CN"/>
        </w:rPr>
        <w:t>≤</w:t>
      </w:r>
      <w:r>
        <w:rPr>
          <w:rFonts w:hint="eastAsia" w:eastAsia="仿宋_GB2312" w:cs="Times New Roman"/>
          <w:color w:val="auto"/>
          <w:spacing w:val="0"/>
          <w:sz w:val="32"/>
          <w:szCs w:val="32"/>
          <w:lang w:val="en-US" w:eastAsia="zh-CN"/>
        </w:rPr>
        <w:t>0.2092</w:t>
      </w:r>
      <w:r>
        <w:rPr>
          <w:rFonts w:hint="default" w:ascii="Times New Roman" w:hAnsi="Times New Roman" w:eastAsia="仿宋_GB2312" w:cs="Times New Roman"/>
          <w:color w:val="auto"/>
          <w:spacing w:val="0"/>
          <w:sz w:val="32"/>
          <w:szCs w:val="32"/>
          <w:lang w:val="en-US" w:eastAsia="zh-CN"/>
        </w:rPr>
        <w:t>t/a</w:t>
      </w:r>
      <w:r>
        <w:rPr>
          <w:rFonts w:hint="eastAsia" w:eastAsia="仿宋_GB2312" w:cs="Times New Roman"/>
          <w:color w:val="auto"/>
          <w:spacing w:val="0"/>
          <w:sz w:val="32"/>
          <w:szCs w:val="32"/>
          <w:lang w:eastAsia="zh-CN"/>
        </w:rPr>
        <w:t>，颗粒物</w:t>
      </w:r>
      <w:r>
        <w:rPr>
          <w:rFonts w:hint="default" w:ascii="Times New Roman" w:hAnsi="Times New Roman" w:eastAsia="仿宋_GB2312" w:cs="Times New Roman"/>
          <w:color w:val="auto"/>
          <w:spacing w:val="0"/>
          <w:sz w:val="32"/>
          <w:szCs w:val="32"/>
          <w:lang w:val="en-US" w:eastAsia="zh-CN"/>
        </w:rPr>
        <w:t>≤</w:t>
      </w:r>
      <w:r>
        <w:rPr>
          <w:rFonts w:hint="eastAsia" w:eastAsia="仿宋_GB2312" w:cs="Times New Roman"/>
          <w:color w:val="auto"/>
          <w:spacing w:val="0"/>
          <w:sz w:val="32"/>
          <w:szCs w:val="32"/>
          <w:lang w:val="en-US" w:eastAsia="zh-CN"/>
        </w:rPr>
        <w:t xml:space="preserve">  0.4284</w:t>
      </w:r>
      <w:r>
        <w:rPr>
          <w:rFonts w:hint="default" w:ascii="Times New Roman" w:hAnsi="Times New Roman" w:eastAsia="仿宋_GB2312" w:cs="Times New Roman"/>
          <w:color w:val="auto"/>
          <w:spacing w:val="0"/>
          <w:sz w:val="32"/>
          <w:szCs w:val="32"/>
          <w:lang w:val="en-US" w:eastAsia="zh-CN"/>
        </w:rPr>
        <w:t>t/a</w:t>
      </w:r>
      <w:r>
        <w:rPr>
          <w:rFonts w:hint="eastAsia" w:eastAsia="仿宋_GB2312" w:cs="Times New Roman"/>
          <w:color w:val="auto"/>
          <w:spacing w:val="0"/>
          <w:sz w:val="32"/>
          <w:szCs w:val="32"/>
          <w:lang w:val="en-US" w:eastAsia="zh-CN"/>
        </w:rPr>
        <w:t>；</w:t>
      </w:r>
    </w:p>
    <w:p w14:paraId="52015F10">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水污染物（</w:t>
      </w:r>
      <w:r>
        <w:rPr>
          <w:rFonts w:hint="default" w:ascii="Times New Roman" w:hAnsi="Times New Roman" w:eastAsia="仿宋_GB2312" w:cs="Times New Roman"/>
          <w:color w:val="auto"/>
          <w:sz w:val="32"/>
          <w:szCs w:val="32"/>
          <w:lang w:val="en-US" w:eastAsia="zh-CN"/>
        </w:rPr>
        <w:t>接管量/外排量）：</w:t>
      </w:r>
    </w:p>
    <w:p w14:paraId="6B505ADB">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z w:val="32"/>
          <w:szCs w:val="32"/>
          <w:lang w:val="en-US" w:eastAsia="zh-CN"/>
        </w:rPr>
        <w:t>废水量</w:t>
      </w:r>
      <w:r>
        <w:rPr>
          <w:rFonts w:hint="default" w:ascii="Times New Roman" w:hAnsi="Times New Roman" w:eastAsia="仿宋_GB2312" w:cs="Times New Roman"/>
          <w:color w:val="auto"/>
          <w:spacing w:val="6"/>
          <w:sz w:val="32"/>
          <w:szCs w:val="32"/>
          <w:lang w:val="en-US" w:eastAsia="zh-CN"/>
        </w:rPr>
        <w:t>≤</w:t>
      </w:r>
      <w:r>
        <w:rPr>
          <w:rFonts w:hint="eastAsia" w:eastAsia="仿宋_GB2312" w:cs="Times New Roman"/>
          <w:color w:val="auto"/>
          <w:spacing w:val="6"/>
          <w:sz w:val="32"/>
          <w:szCs w:val="32"/>
          <w:lang w:val="en-US" w:eastAsia="zh-CN"/>
        </w:rPr>
        <w:t>403.2</w:t>
      </w:r>
      <w:r>
        <w:rPr>
          <w:rFonts w:hint="default" w:ascii="Times New Roman" w:hAnsi="Times New Roman" w:eastAsia="仿宋_GB2312" w:cs="Times New Roman"/>
          <w:color w:val="auto"/>
          <w:spacing w:val="6"/>
          <w:sz w:val="32"/>
          <w:szCs w:val="32"/>
          <w:lang w:val="en-US" w:eastAsia="zh-CN"/>
        </w:rPr>
        <w:t>m</w:t>
      </w:r>
      <w:r>
        <w:rPr>
          <w:rFonts w:hint="default" w:ascii="Times New Roman" w:hAnsi="Times New Roman" w:eastAsia="仿宋_GB2312" w:cs="Times New Roman"/>
          <w:color w:val="auto"/>
          <w:spacing w:val="6"/>
          <w:sz w:val="32"/>
          <w:szCs w:val="32"/>
          <w:vertAlign w:val="superscript"/>
          <w:lang w:val="en-US" w:eastAsia="zh-CN"/>
        </w:rPr>
        <w:t>3</w:t>
      </w:r>
      <w:r>
        <w:rPr>
          <w:rFonts w:hint="default" w:ascii="Times New Roman" w:hAnsi="Times New Roman" w:eastAsia="仿宋_GB2312" w:cs="Times New Roman"/>
          <w:color w:val="auto"/>
          <w:spacing w:val="6"/>
          <w:sz w:val="32"/>
          <w:szCs w:val="32"/>
          <w:lang w:val="en-US" w:eastAsia="zh-CN"/>
        </w:rPr>
        <w:t>/a，COD≤</w:t>
      </w:r>
      <w:r>
        <w:rPr>
          <w:rFonts w:hint="eastAsia" w:eastAsia="仿宋_GB2312" w:cs="Times New Roman"/>
          <w:color w:val="auto"/>
          <w:spacing w:val="6"/>
          <w:sz w:val="32"/>
          <w:szCs w:val="32"/>
          <w:lang w:val="en-US" w:eastAsia="zh-CN"/>
        </w:rPr>
        <w:t>0.1008</w:t>
      </w:r>
      <w:r>
        <w:rPr>
          <w:rFonts w:hint="default" w:ascii="Times New Roman" w:hAnsi="Times New Roman" w:eastAsia="仿宋_GB2312" w:cs="Times New Roman"/>
          <w:color w:val="auto"/>
          <w:spacing w:val="6"/>
          <w:sz w:val="32"/>
          <w:szCs w:val="32"/>
          <w:lang w:val="en-US" w:eastAsia="zh-CN"/>
        </w:rPr>
        <w:t>/</w:t>
      </w:r>
      <w:r>
        <w:rPr>
          <w:rFonts w:hint="eastAsia" w:eastAsia="仿宋_GB2312" w:cs="Times New Roman"/>
          <w:color w:val="auto"/>
          <w:spacing w:val="6"/>
          <w:sz w:val="32"/>
          <w:szCs w:val="32"/>
          <w:lang w:val="en-US" w:eastAsia="zh-CN"/>
        </w:rPr>
        <w:t>0.0202</w:t>
      </w:r>
      <w:r>
        <w:rPr>
          <w:rFonts w:hint="default" w:ascii="Times New Roman" w:hAnsi="Times New Roman" w:eastAsia="仿宋_GB2312" w:cs="Times New Roman"/>
          <w:color w:val="auto"/>
          <w:spacing w:val="6"/>
          <w:sz w:val="32"/>
          <w:szCs w:val="32"/>
          <w:lang w:val="en-US" w:eastAsia="zh-CN"/>
        </w:rPr>
        <w:t>t/a，</w:t>
      </w:r>
      <w:r>
        <w:rPr>
          <w:rFonts w:hint="eastAsia" w:eastAsia="仿宋_GB2312" w:cs="Times New Roman"/>
          <w:color w:val="auto"/>
          <w:spacing w:val="6"/>
          <w:sz w:val="32"/>
          <w:szCs w:val="32"/>
          <w:lang w:val="en-US" w:eastAsia="zh-CN"/>
        </w:rPr>
        <w:t>NH</w:t>
      </w:r>
      <w:r>
        <w:rPr>
          <w:rFonts w:hint="eastAsia" w:eastAsia="仿宋_GB2312" w:cs="Times New Roman"/>
          <w:color w:val="auto"/>
          <w:spacing w:val="6"/>
          <w:sz w:val="32"/>
          <w:szCs w:val="32"/>
          <w:vertAlign w:val="subscript"/>
          <w:lang w:val="en-US" w:eastAsia="zh-CN"/>
        </w:rPr>
        <w:t>3</w:t>
      </w:r>
      <w:r>
        <w:rPr>
          <w:rFonts w:hint="eastAsia" w:eastAsia="仿宋_GB2312" w:cs="Times New Roman"/>
          <w:color w:val="auto"/>
          <w:spacing w:val="6"/>
          <w:sz w:val="32"/>
          <w:szCs w:val="32"/>
          <w:lang w:val="en-US" w:eastAsia="zh-CN"/>
        </w:rPr>
        <w:t>-N</w:t>
      </w:r>
      <w:r>
        <w:rPr>
          <w:rFonts w:hint="default" w:ascii="Times New Roman" w:hAnsi="Times New Roman" w:eastAsia="仿宋_GB2312" w:cs="Times New Roman"/>
          <w:color w:val="auto"/>
          <w:spacing w:val="6"/>
          <w:sz w:val="32"/>
          <w:szCs w:val="32"/>
          <w:lang w:val="en-US" w:eastAsia="zh-CN"/>
        </w:rPr>
        <w:t>≤0.</w:t>
      </w:r>
      <w:r>
        <w:rPr>
          <w:rFonts w:hint="eastAsia" w:eastAsia="仿宋_GB2312" w:cs="Times New Roman"/>
          <w:color w:val="auto"/>
          <w:spacing w:val="6"/>
          <w:sz w:val="32"/>
          <w:szCs w:val="32"/>
          <w:lang w:val="en-US" w:eastAsia="zh-CN"/>
        </w:rPr>
        <w:t>0095</w:t>
      </w:r>
      <w:r>
        <w:rPr>
          <w:rFonts w:hint="default" w:ascii="Times New Roman" w:hAnsi="Times New Roman" w:eastAsia="仿宋_GB2312" w:cs="Times New Roman"/>
          <w:color w:val="auto"/>
          <w:spacing w:val="6"/>
          <w:sz w:val="32"/>
          <w:szCs w:val="32"/>
          <w:lang w:val="en-US" w:eastAsia="zh-CN"/>
        </w:rPr>
        <w:t>/0.0</w:t>
      </w:r>
      <w:r>
        <w:rPr>
          <w:rFonts w:hint="eastAsia" w:eastAsia="仿宋_GB2312" w:cs="Times New Roman"/>
          <w:color w:val="auto"/>
          <w:spacing w:val="6"/>
          <w:sz w:val="32"/>
          <w:szCs w:val="32"/>
          <w:lang w:val="en-US" w:eastAsia="zh-CN"/>
        </w:rPr>
        <w:t>02</w:t>
      </w:r>
      <w:r>
        <w:rPr>
          <w:rFonts w:hint="default" w:ascii="Times New Roman" w:hAnsi="Times New Roman" w:eastAsia="仿宋_GB2312" w:cs="Times New Roman"/>
          <w:color w:val="auto"/>
          <w:spacing w:val="6"/>
          <w:sz w:val="32"/>
          <w:szCs w:val="32"/>
          <w:lang w:val="en-US" w:eastAsia="zh-CN"/>
        </w:rPr>
        <w:t>t/a，T</w:t>
      </w:r>
      <w:r>
        <w:rPr>
          <w:rFonts w:hint="eastAsia" w:eastAsia="仿宋_GB2312" w:cs="Times New Roman"/>
          <w:color w:val="auto"/>
          <w:spacing w:val="6"/>
          <w:sz w:val="32"/>
          <w:szCs w:val="32"/>
          <w:lang w:val="en-US" w:eastAsia="zh-CN"/>
        </w:rPr>
        <w:t>P</w:t>
      </w:r>
      <w:r>
        <w:rPr>
          <w:rFonts w:hint="default" w:ascii="Times New Roman" w:hAnsi="Times New Roman" w:eastAsia="仿宋_GB2312" w:cs="Times New Roman"/>
          <w:color w:val="auto"/>
          <w:spacing w:val="6"/>
          <w:sz w:val="32"/>
          <w:szCs w:val="32"/>
          <w:lang w:val="en-US" w:eastAsia="zh-CN"/>
        </w:rPr>
        <w:t>≤</w:t>
      </w:r>
      <w:r>
        <w:rPr>
          <w:rFonts w:hint="eastAsia" w:eastAsia="仿宋_GB2312" w:cs="Times New Roman"/>
          <w:color w:val="auto"/>
          <w:spacing w:val="6"/>
          <w:sz w:val="32"/>
          <w:szCs w:val="32"/>
          <w:lang w:val="en-US" w:eastAsia="zh-CN"/>
        </w:rPr>
        <w:t>0.0012</w:t>
      </w:r>
      <w:r>
        <w:rPr>
          <w:rFonts w:hint="default" w:ascii="Times New Roman" w:hAnsi="Times New Roman" w:eastAsia="仿宋_GB2312" w:cs="Times New Roman"/>
          <w:color w:val="auto"/>
          <w:spacing w:val="6"/>
          <w:sz w:val="32"/>
          <w:szCs w:val="32"/>
          <w:lang w:val="en-US" w:eastAsia="zh-CN"/>
        </w:rPr>
        <w:t>/</w:t>
      </w:r>
      <w:r>
        <w:rPr>
          <w:rFonts w:hint="eastAsia" w:eastAsia="仿宋_GB2312" w:cs="Times New Roman"/>
          <w:color w:val="auto"/>
          <w:spacing w:val="6"/>
          <w:sz w:val="32"/>
          <w:szCs w:val="32"/>
          <w:lang w:val="en-US" w:eastAsia="zh-CN"/>
        </w:rPr>
        <w:t>0.0002</w:t>
      </w:r>
      <w:r>
        <w:rPr>
          <w:rFonts w:hint="default" w:ascii="Times New Roman" w:hAnsi="Times New Roman" w:eastAsia="仿宋_GB2312" w:cs="Times New Roman"/>
          <w:color w:val="auto"/>
          <w:spacing w:val="6"/>
          <w:sz w:val="32"/>
          <w:szCs w:val="32"/>
          <w:lang w:val="en-US" w:eastAsia="zh-CN"/>
        </w:rPr>
        <w:t>t/a</w:t>
      </w:r>
      <w:r>
        <w:rPr>
          <w:rFonts w:hint="eastAsia" w:eastAsia="仿宋_GB2312" w:cs="Times New Roman"/>
          <w:color w:val="auto"/>
          <w:spacing w:val="6"/>
          <w:sz w:val="32"/>
          <w:szCs w:val="32"/>
          <w:lang w:val="en-US" w:eastAsia="zh-CN"/>
        </w:rPr>
        <w:t>，TN</w:t>
      </w:r>
      <w:r>
        <w:rPr>
          <w:rFonts w:hint="default" w:ascii="Times New Roman" w:hAnsi="Times New Roman" w:eastAsia="仿宋_GB2312" w:cs="Times New Roman"/>
          <w:color w:val="auto"/>
          <w:spacing w:val="6"/>
          <w:sz w:val="32"/>
          <w:szCs w:val="32"/>
          <w:lang w:val="en-US" w:eastAsia="zh-CN"/>
        </w:rPr>
        <w:t>≤</w:t>
      </w:r>
      <w:r>
        <w:rPr>
          <w:rFonts w:hint="eastAsia" w:eastAsia="仿宋_GB2312" w:cs="Times New Roman"/>
          <w:color w:val="auto"/>
          <w:spacing w:val="6"/>
          <w:sz w:val="32"/>
          <w:szCs w:val="32"/>
          <w:lang w:val="en-US" w:eastAsia="zh-CN"/>
        </w:rPr>
        <w:t>0.0132</w:t>
      </w:r>
      <w:r>
        <w:rPr>
          <w:rFonts w:hint="default" w:ascii="Times New Roman" w:hAnsi="Times New Roman" w:eastAsia="仿宋_GB2312" w:cs="Times New Roman"/>
          <w:color w:val="auto"/>
          <w:spacing w:val="6"/>
          <w:sz w:val="32"/>
          <w:szCs w:val="32"/>
          <w:lang w:val="en-US" w:eastAsia="zh-CN"/>
        </w:rPr>
        <w:t>/</w:t>
      </w:r>
      <w:r>
        <w:rPr>
          <w:rFonts w:hint="eastAsia" w:eastAsia="仿宋_GB2312" w:cs="Times New Roman"/>
          <w:color w:val="auto"/>
          <w:spacing w:val="6"/>
          <w:sz w:val="32"/>
          <w:szCs w:val="32"/>
          <w:lang w:val="en-US" w:eastAsia="zh-CN"/>
        </w:rPr>
        <w:t>0.006</w:t>
      </w:r>
      <w:r>
        <w:rPr>
          <w:rFonts w:hint="default" w:ascii="Times New Roman" w:hAnsi="Times New Roman" w:eastAsia="仿宋_GB2312" w:cs="Times New Roman"/>
          <w:color w:val="auto"/>
          <w:spacing w:val="6"/>
          <w:sz w:val="32"/>
          <w:szCs w:val="32"/>
          <w:lang w:val="en-US" w:eastAsia="zh-CN"/>
        </w:rPr>
        <w:t>t/a</w:t>
      </w:r>
      <w:r>
        <w:rPr>
          <w:rFonts w:hint="eastAsia" w:ascii="Times New Roman" w:hAnsi="Times New Roman" w:eastAsia="仿宋_GB2312" w:cs="Times New Roman"/>
          <w:color w:val="auto"/>
          <w:spacing w:val="6"/>
          <w:sz w:val="32"/>
          <w:szCs w:val="32"/>
          <w:lang w:val="en-US" w:eastAsia="zh-CN"/>
        </w:rPr>
        <w:t>；</w:t>
      </w:r>
    </w:p>
    <w:p w14:paraId="7060F58F">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eastAsia="仿宋_GB2312"/>
          <w:color w:val="auto"/>
          <w:sz w:val="32"/>
          <w:szCs w:val="32"/>
        </w:rPr>
        <w:t>固废废物：全部综合利用或安全处置。</w:t>
      </w:r>
    </w:p>
    <w:p w14:paraId="4A02D2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五、你公司应在本项目启动生产设施或者发生实际排污之前申请排污许可证或者填报排污登记表，未取得排污许可证或者填报排污登记的，不得排放污染物。</w:t>
      </w:r>
      <w:bookmarkStart w:id="0" w:name="_GoBack"/>
      <w:bookmarkEnd w:id="0"/>
    </w:p>
    <w:p w14:paraId="54E654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六、严格落实生态环境保护主体责任，你公司应当对《报告表》的内容和结论负责。</w:t>
      </w:r>
    </w:p>
    <w:p w14:paraId="5CF588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七、项目建设期间及运营期的环境监管由连云港市生态环境局高新区分局负责。项目的环保设施必须与主体工程同时建成并投入使用，并按规定办理项目竣工环保验收手续。逾期未验收，将由相关部门依法进行处置。</w:t>
      </w:r>
    </w:p>
    <w:p w14:paraId="5528B0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八、项目的性质、规模、地点或者防治污染、防止生态破坏的措施发生重大变动的，应当重新报批项目的环境影响评价文件。项目自批准之日起超过五年方开工建设的，环评文件须重新报审</w:t>
      </w:r>
      <w:r>
        <w:rPr>
          <w:rFonts w:eastAsia="仿宋_GB2312"/>
          <w:color w:val="auto"/>
          <w:sz w:val="32"/>
          <w:szCs w:val="32"/>
        </w:rPr>
        <w:t>。</w:t>
      </w:r>
    </w:p>
    <w:p w14:paraId="295058BE">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p>
    <w:p w14:paraId="2D6B9985">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p>
    <w:p w14:paraId="5FFF6CDE">
      <w:pPr>
        <w:pStyle w:val="2"/>
      </w:pPr>
    </w:p>
    <w:p w14:paraId="0BB1FAE5">
      <w:pPr>
        <w:keepNext w:val="0"/>
        <w:keepLines w:val="0"/>
        <w:pageBreakBefore w:val="0"/>
        <w:widowControl w:val="0"/>
        <w:kinsoku/>
        <w:wordWrap w:val="0"/>
        <w:overflowPunct/>
        <w:topLinePunct w:val="0"/>
        <w:autoSpaceDE/>
        <w:autoSpaceDN/>
        <w:bidi w:val="0"/>
        <w:adjustRightInd w:val="0"/>
        <w:snapToGrid w:val="0"/>
        <w:spacing w:line="560" w:lineRule="exact"/>
        <w:ind w:firstLine="2720" w:firstLineChars="850"/>
        <w:textAlignment w:val="auto"/>
        <w:rPr>
          <w:rFonts w:eastAsia="仿宋_GB2312"/>
          <w:color w:val="auto"/>
          <w:sz w:val="32"/>
          <w:szCs w:val="32"/>
        </w:rPr>
      </w:pPr>
      <w:r>
        <w:rPr>
          <w:rFonts w:eastAsia="仿宋_GB2312"/>
          <w:color w:val="auto"/>
          <w:sz w:val="32"/>
          <w:szCs w:val="32"/>
        </w:rPr>
        <w:t>连云港高新技术产业开发区行政审批局</w:t>
      </w:r>
    </w:p>
    <w:p w14:paraId="5F6648FE">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r>
        <w:rPr>
          <w:rFonts w:eastAsia="仿宋_GB2312"/>
          <w:color w:val="auto"/>
          <w:sz w:val="32"/>
          <w:szCs w:val="32"/>
        </w:rPr>
        <w:t xml:space="preserve">                       </w:t>
      </w:r>
      <w:r>
        <w:rPr>
          <w:rFonts w:eastAsia="仿宋_GB2312"/>
          <w:color w:val="auto"/>
          <w:sz w:val="32"/>
          <w:szCs w:val="32"/>
          <w:highlight w:val="none"/>
        </w:rPr>
        <w:t xml:space="preserve">  202</w:t>
      </w:r>
      <w:r>
        <w:rPr>
          <w:rFonts w:hint="eastAsia" w:eastAsia="仿宋_GB2312"/>
          <w:color w:val="auto"/>
          <w:sz w:val="32"/>
          <w:szCs w:val="32"/>
          <w:highlight w:val="none"/>
          <w:lang w:val="en-US" w:eastAsia="zh-CN"/>
        </w:rPr>
        <w:t>5</w:t>
      </w:r>
      <w:r>
        <w:rPr>
          <w:rFonts w:eastAsia="仿宋_GB2312"/>
          <w:color w:val="auto"/>
          <w:sz w:val="32"/>
          <w:szCs w:val="32"/>
          <w:highlight w:val="none"/>
        </w:rPr>
        <w:t>年</w:t>
      </w:r>
      <w:r>
        <w:rPr>
          <w:rFonts w:hint="eastAsia" w:eastAsia="仿宋_GB2312"/>
          <w:color w:val="auto"/>
          <w:sz w:val="32"/>
          <w:szCs w:val="32"/>
          <w:highlight w:val="none"/>
          <w:lang w:val="en-US" w:eastAsia="zh-CN"/>
        </w:rPr>
        <w:t>2</w:t>
      </w:r>
      <w:r>
        <w:rPr>
          <w:rFonts w:eastAsia="仿宋_GB2312"/>
          <w:color w:val="auto"/>
          <w:sz w:val="32"/>
          <w:szCs w:val="32"/>
          <w:highlight w:val="none"/>
        </w:rPr>
        <w:t>月</w:t>
      </w:r>
      <w:r>
        <w:rPr>
          <w:rFonts w:hint="eastAsia" w:eastAsia="仿宋_GB2312"/>
          <w:color w:val="auto"/>
          <w:sz w:val="32"/>
          <w:szCs w:val="32"/>
          <w:highlight w:val="none"/>
          <w:lang w:val="en-US" w:eastAsia="zh-CN"/>
        </w:rPr>
        <w:t>11</w:t>
      </w:r>
      <w:r>
        <w:rPr>
          <w:rFonts w:eastAsia="仿宋_GB2312"/>
          <w:color w:val="auto"/>
          <w:sz w:val="32"/>
          <w:szCs w:val="32"/>
          <w:highlight w:val="none"/>
        </w:rPr>
        <w:t xml:space="preserve">日 </w:t>
      </w:r>
    </w:p>
    <w:p w14:paraId="4BFE59C7">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p>
    <w:p w14:paraId="28592B95">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hint="eastAsia" w:eastAsia="仿宋_GB2312"/>
          <w:color w:val="auto"/>
          <w:sz w:val="32"/>
          <w:szCs w:val="32"/>
          <w:lang w:eastAsia="zh-CN"/>
        </w:rPr>
      </w:pPr>
      <w:r>
        <w:rPr>
          <w:rFonts w:eastAsia="仿宋_GB2312"/>
          <w:color w:val="auto"/>
          <w:sz w:val="32"/>
          <w:szCs w:val="32"/>
        </w:rPr>
        <w:t>抄送：连云港市生态环境局高新区分局，</w:t>
      </w:r>
      <w:r>
        <w:rPr>
          <w:rFonts w:hint="eastAsia" w:eastAsia="仿宋_GB2312"/>
          <w:color w:val="auto"/>
          <w:sz w:val="32"/>
          <w:szCs w:val="32"/>
          <w:lang w:eastAsia="zh-CN"/>
        </w:rPr>
        <w:t>江苏颐和工程技术咨询有限公司</w:t>
      </w:r>
    </w:p>
    <w:sectPr>
      <w:footerReference r:id="rId3" w:type="default"/>
      <w:footerReference r:id="rId4" w:type="even"/>
      <w:pgSz w:w="11906" w:h="16838"/>
      <w:pgMar w:top="2098" w:right="141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9435">
    <w:pPr>
      <w:pStyle w:val="7"/>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p w14:paraId="1315DE1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9CCE4">
    <w:pPr>
      <w:pStyle w:val="7"/>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14:paraId="3469172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kZjEzZmMyNzgzMTBjN2JkMTc0NjQzNjZkNjkxYWEifQ=="/>
  </w:docVars>
  <w:rsids>
    <w:rsidRoot w:val="00A33778"/>
    <w:rsid w:val="000059B3"/>
    <w:rsid w:val="0001238B"/>
    <w:rsid w:val="00024404"/>
    <w:rsid w:val="00025971"/>
    <w:rsid w:val="00035C81"/>
    <w:rsid w:val="00053016"/>
    <w:rsid w:val="00053BD9"/>
    <w:rsid w:val="000625E2"/>
    <w:rsid w:val="00064CEA"/>
    <w:rsid w:val="000707AE"/>
    <w:rsid w:val="00093DAE"/>
    <w:rsid w:val="000A4DA5"/>
    <w:rsid w:val="000A4E84"/>
    <w:rsid w:val="000C2272"/>
    <w:rsid w:val="000C578E"/>
    <w:rsid w:val="000D5994"/>
    <w:rsid w:val="00100764"/>
    <w:rsid w:val="00101347"/>
    <w:rsid w:val="00104E77"/>
    <w:rsid w:val="00107B67"/>
    <w:rsid w:val="00135FB3"/>
    <w:rsid w:val="0016210A"/>
    <w:rsid w:val="0017326B"/>
    <w:rsid w:val="001901CA"/>
    <w:rsid w:val="001B3CA1"/>
    <w:rsid w:val="001C09A0"/>
    <w:rsid w:val="001C3C15"/>
    <w:rsid w:val="001D495D"/>
    <w:rsid w:val="001D4E75"/>
    <w:rsid w:val="001F0518"/>
    <w:rsid w:val="0021592F"/>
    <w:rsid w:val="00235633"/>
    <w:rsid w:val="00257185"/>
    <w:rsid w:val="0025762B"/>
    <w:rsid w:val="00261377"/>
    <w:rsid w:val="00261868"/>
    <w:rsid w:val="00290E82"/>
    <w:rsid w:val="002921D2"/>
    <w:rsid w:val="002A12EE"/>
    <w:rsid w:val="002B7B42"/>
    <w:rsid w:val="002C1DD6"/>
    <w:rsid w:val="002C215D"/>
    <w:rsid w:val="002D59FE"/>
    <w:rsid w:val="002F2386"/>
    <w:rsid w:val="002F52C1"/>
    <w:rsid w:val="00326697"/>
    <w:rsid w:val="003309C5"/>
    <w:rsid w:val="00346599"/>
    <w:rsid w:val="00353552"/>
    <w:rsid w:val="0036127B"/>
    <w:rsid w:val="003638F2"/>
    <w:rsid w:val="00367E1D"/>
    <w:rsid w:val="00370A26"/>
    <w:rsid w:val="00374CCA"/>
    <w:rsid w:val="003762C7"/>
    <w:rsid w:val="00381859"/>
    <w:rsid w:val="003A42C6"/>
    <w:rsid w:val="003B374D"/>
    <w:rsid w:val="003C02D9"/>
    <w:rsid w:val="003D3681"/>
    <w:rsid w:val="003F3575"/>
    <w:rsid w:val="00400B23"/>
    <w:rsid w:val="004027F2"/>
    <w:rsid w:val="0040331B"/>
    <w:rsid w:val="004067A1"/>
    <w:rsid w:val="0042713D"/>
    <w:rsid w:val="0043253D"/>
    <w:rsid w:val="004639D4"/>
    <w:rsid w:val="00467D79"/>
    <w:rsid w:val="00484C9A"/>
    <w:rsid w:val="004A2CE3"/>
    <w:rsid w:val="004A5EF5"/>
    <w:rsid w:val="004B4849"/>
    <w:rsid w:val="004B7C59"/>
    <w:rsid w:val="004C3DC8"/>
    <w:rsid w:val="004C426E"/>
    <w:rsid w:val="004F79AA"/>
    <w:rsid w:val="00510EAF"/>
    <w:rsid w:val="00522A1F"/>
    <w:rsid w:val="00534A5E"/>
    <w:rsid w:val="0054249B"/>
    <w:rsid w:val="005432FD"/>
    <w:rsid w:val="0054508C"/>
    <w:rsid w:val="005472CC"/>
    <w:rsid w:val="005534FB"/>
    <w:rsid w:val="00556D6E"/>
    <w:rsid w:val="00556D9C"/>
    <w:rsid w:val="00562D41"/>
    <w:rsid w:val="00567E19"/>
    <w:rsid w:val="00571E37"/>
    <w:rsid w:val="005976E9"/>
    <w:rsid w:val="00597F6E"/>
    <w:rsid w:val="005A206F"/>
    <w:rsid w:val="005A68E6"/>
    <w:rsid w:val="005B5556"/>
    <w:rsid w:val="005C708E"/>
    <w:rsid w:val="005C79FA"/>
    <w:rsid w:val="005D4278"/>
    <w:rsid w:val="005D561F"/>
    <w:rsid w:val="005D577F"/>
    <w:rsid w:val="005D608E"/>
    <w:rsid w:val="005D75CE"/>
    <w:rsid w:val="005E3D4A"/>
    <w:rsid w:val="005E5075"/>
    <w:rsid w:val="005E7EE4"/>
    <w:rsid w:val="00600124"/>
    <w:rsid w:val="00600CB7"/>
    <w:rsid w:val="00600FF3"/>
    <w:rsid w:val="006124A7"/>
    <w:rsid w:val="00613B2D"/>
    <w:rsid w:val="00614D66"/>
    <w:rsid w:val="006203E0"/>
    <w:rsid w:val="0062558B"/>
    <w:rsid w:val="006301DB"/>
    <w:rsid w:val="006433DC"/>
    <w:rsid w:val="00651D5A"/>
    <w:rsid w:val="006537A6"/>
    <w:rsid w:val="00667546"/>
    <w:rsid w:val="006724FF"/>
    <w:rsid w:val="0068144C"/>
    <w:rsid w:val="0068205A"/>
    <w:rsid w:val="006833FD"/>
    <w:rsid w:val="00693BE2"/>
    <w:rsid w:val="006B0EBD"/>
    <w:rsid w:val="006B3023"/>
    <w:rsid w:val="006D77D9"/>
    <w:rsid w:val="006F0110"/>
    <w:rsid w:val="006F2E67"/>
    <w:rsid w:val="0070153B"/>
    <w:rsid w:val="00701637"/>
    <w:rsid w:val="00706723"/>
    <w:rsid w:val="0071350A"/>
    <w:rsid w:val="00723A44"/>
    <w:rsid w:val="00760498"/>
    <w:rsid w:val="00777168"/>
    <w:rsid w:val="00783DDD"/>
    <w:rsid w:val="007927CE"/>
    <w:rsid w:val="0079391A"/>
    <w:rsid w:val="00793CFE"/>
    <w:rsid w:val="007A266D"/>
    <w:rsid w:val="007A399B"/>
    <w:rsid w:val="007C06F7"/>
    <w:rsid w:val="007C565A"/>
    <w:rsid w:val="007E0DCB"/>
    <w:rsid w:val="007E1360"/>
    <w:rsid w:val="007E733A"/>
    <w:rsid w:val="007F4E71"/>
    <w:rsid w:val="007F61FE"/>
    <w:rsid w:val="0081690F"/>
    <w:rsid w:val="00862485"/>
    <w:rsid w:val="00863CBE"/>
    <w:rsid w:val="0087730E"/>
    <w:rsid w:val="008820E1"/>
    <w:rsid w:val="00883310"/>
    <w:rsid w:val="008A0C9D"/>
    <w:rsid w:val="008A7C6E"/>
    <w:rsid w:val="008C11C2"/>
    <w:rsid w:val="008C38AA"/>
    <w:rsid w:val="008C62CF"/>
    <w:rsid w:val="008E64E4"/>
    <w:rsid w:val="00920F4F"/>
    <w:rsid w:val="00926B65"/>
    <w:rsid w:val="0093382E"/>
    <w:rsid w:val="0093420B"/>
    <w:rsid w:val="00946B79"/>
    <w:rsid w:val="00972A65"/>
    <w:rsid w:val="009849DD"/>
    <w:rsid w:val="00991456"/>
    <w:rsid w:val="009939C6"/>
    <w:rsid w:val="00993BEE"/>
    <w:rsid w:val="00994F6F"/>
    <w:rsid w:val="009A3662"/>
    <w:rsid w:val="009B1AFA"/>
    <w:rsid w:val="009B2D48"/>
    <w:rsid w:val="009B5571"/>
    <w:rsid w:val="009C4E8D"/>
    <w:rsid w:val="009D1977"/>
    <w:rsid w:val="009E43E5"/>
    <w:rsid w:val="009F7FF0"/>
    <w:rsid w:val="00A07623"/>
    <w:rsid w:val="00A16446"/>
    <w:rsid w:val="00A3090E"/>
    <w:rsid w:val="00A33778"/>
    <w:rsid w:val="00A421D0"/>
    <w:rsid w:val="00A531E2"/>
    <w:rsid w:val="00A61F6F"/>
    <w:rsid w:val="00A65B48"/>
    <w:rsid w:val="00A73025"/>
    <w:rsid w:val="00A93F02"/>
    <w:rsid w:val="00AA2532"/>
    <w:rsid w:val="00AB53A1"/>
    <w:rsid w:val="00AC429E"/>
    <w:rsid w:val="00AC4B54"/>
    <w:rsid w:val="00AD51BC"/>
    <w:rsid w:val="00AF5797"/>
    <w:rsid w:val="00AF5AC2"/>
    <w:rsid w:val="00B123E3"/>
    <w:rsid w:val="00B30404"/>
    <w:rsid w:val="00B45B89"/>
    <w:rsid w:val="00B579FB"/>
    <w:rsid w:val="00B660D9"/>
    <w:rsid w:val="00B876BD"/>
    <w:rsid w:val="00BB2551"/>
    <w:rsid w:val="00BC02DA"/>
    <w:rsid w:val="00BC26B6"/>
    <w:rsid w:val="00BC287A"/>
    <w:rsid w:val="00BC2BF3"/>
    <w:rsid w:val="00BD3991"/>
    <w:rsid w:val="00BD5126"/>
    <w:rsid w:val="00BE1663"/>
    <w:rsid w:val="00BE2C25"/>
    <w:rsid w:val="00BE7C89"/>
    <w:rsid w:val="00BF52BD"/>
    <w:rsid w:val="00C11AD3"/>
    <w:rsid w:val="00C12A2C"/>
    <w:rsid w:val="00C131C7"/>
    <w:rsid w:val="00C347BB"/>
    <w:rsid w:val="00C420E3"/>
    <w:rsid w:val="00C511BD"/>
    <w:rsid w:val="00C55301"/>
    <w:rsid w:val="00C66A97"/>
    <w:rsid w:val="00C732AD"/>
    <w:rsid w:val="00C8219B"/>
    <w:rsid w:val="00C82A70"/>
    <w:rsid w:val="00C9008A"/>
    <w:rsid w:val="00C906A1"/>
    <w:rsid w:val="00CB4645"/>
    <w:rsid w:val="00CB61D3"/>
    <w:rsid w:val="00CC566C"/>
    <w:rsid w:val="00CC57D3"/>
    <w:rsid w:val="00CE46DF"/>
    <w:rsid w:val="00CF7050"/>
    <w:rsid w:val="00D042F1"/>
    <w:rsid w:val="00D04D18"/>
    <w:rsid w:val="00D213FC"/>
    <w:rsid w:val="00D223F7"/>
    <w:rsid w:val="00D22A50"/>
    <w:rsid w:val="00D22F21"/>
    <w:rsid w:val="00D23755"/>
    <w:rsid w:val="00D23E11"/>
    <w:rsid w:val="00D33DD0"/>
    <w:rsid w:val="00D3713D"/>
    <w:rsid w:val="00D409B1"/>
    <w:rsid w:val="00D40D33"/>
    <w:rsid w:val="00D42CBA"/>
    <w:rsid w:val="00D44424"/>
    <w:rsid w:val="00D53E9E"/>
    <w:rsid w:val="00D570CE"/>
    <w:rsid w:val="00D62AD7"/>
    <w:rsid w:val="00D719D0"/>
    <w:rsid w:val="00D905DB"/>
    <w:rsid w:val="00D90B5D"/>
    <w:rsid w:val="00D91A79"/>
    <w:rsid w:val="00D9560D"/>
    <w:rsid w:val="00D97678"/>
    <w:rsid w:val="00DA1275"/>
    <w:rsid w:val="00DC7E29"/>
    <w:rsid w:val="00DD65F2"/>
    <w:rsid w:val="00DE39E3"/>
    <w:rsid w:val="00DF0747"/>
    <w:rsid w:val="00DF22F5"/>
    <w:rsid w:val="00DF2F35"/>
    <w:rsid w:val="00E34EF0"/>
    <w:rsid w:val="00E3528B"/>
    <w:rsid w:val="00E42D87"/>
    <w:rsid w:val="00E47122"/>
    <w:rsid w:val="00E57960"/>
    <w:rsid w:val="00E6260D"/>
    <w:rsid w:val="00E711B1"/>
    <w:rsid w:val="00E73446"/>
    <w:rsid w:val="00E73E7D"/>
    <w:rsid w:val="00E76881"/>
    <w:rsid w:val="00E91BFB"/>
    <w:rsid w:val="00EA0963"/>
    <w:rsid w:val="00EB0964"/>
    <w:rsid w:val="00EB1656"/>
    <w:rsid w:val="00EC6178"/>
    <w:rsid w:val="00ED5BDE"/>
    <w:rsid w:val="00F13008"/>
    <w:rsid w:val="00F2496E"/>
    <w:rsid w:val="00F355C7"/>
    <w:rsid w:val="00F5489B"/>
    <w:rsid w:val="00F667ED"/>
    <w:rsid w:val="00F9009F"/>
    <w:rsid w:val="00F90845"/>
    <w:rsid w:val="00FA43AC"/>
    <w:rsid w:val="00FA6748"/>
    <w:rsid w:val="00FB62B1"/>
    <w:rsid w:val="00FB731F"/>
    <w:rsid w:val="00FD308A"/>
    <w:rsid w:val="00FE57C3"/>
    <w:rsid w:val="00FE628A"/>
    <w:rsid w:val="00FE753E"/>
    <w:rsid w:val="011434A4"/>
    <w:rsid w:val="01EC3E90"/>
    <w:rsid w:val="025E3202"/>
    <w:rsid w:val="03CC0C05"/>
    <w:rsid w:val="05A137A0"/>
    <w:rsid w:val="05BC1DCB"/>
    <w:rsid w:val="060909A6"/>
    <w:rsid w:val="060F45F1"/>
    <w:rsid w:val="06260797"/>
    <w:rsid w:val="07107E0D"/>
    <w:rsid w:val="072702BE"/>
    <w:rsid w:val="078A6045"/>
    <w:rsid w:val="07C92B50"/>
    <w:rsid w:val="07D75D82"/>
    <w:rsid w:val="07F669DC"/>
    <w:rsid w:val="08071A24"/>
    <w:rsid w:val="09273A00"/>
    <w:rsid w:val="0A4E393A"/>
    <w:rsid w:val="0B7C44D7"/>
    <w:rsid w:val="0D34281B"/>
    <w:rsid w:val="0ECD1453"/>
    <w:rsid w:val="0F087E2F"/>
    <w:rsid w:val="0F7A7A09"/>
    <w:rsid w:val="101D790A"/>
    <w:rsid w:val="111D4066"/>
    <w:rsid w:val="115F7F76"/>
    <w:rsid w:val="116003F7"/>
    <w:rsid w:val="12FA4492"/>
    <w:rsid w:val="132D754F"/>
    <w:rsid w:val="13AE369B"/>
    <w:rsid w:val="1559776D"/>
    <w:rsid w:val="15B30DC6"/>
    <w:rsid w:val="15C3133C"/>
    <w:rsid w:val="168E3162"/>
    <w:rsid w:val="16D14840"/>
    <w:rsid w:val="181456E7"/>
    <w:rsid w:val="187D7720"/>
    <w:rsid w:val="196D36B1"/>
    <w:rsid w:val="19EA4D01"/>
    <w:rsid w:val="1A9133CF"/>
    <w:rsid w:val="1AEB31F7"/>
    <w:rsid w:val="1AF37BE5"/>
    <w:rsid w:val="1B544B28"/>
    <w:rsid w:val="1B654C77"/>
    <w:rsid w:val="1B7F7052"/>
    <w:rsid w:val="1B934AB5"/>
    <w:rsid w:val="1BC31046"/>
    <w:rsid w:val="1BE51C24"/>
    <w:rsid w:val="1C24274C"/>
    <w:rsid w:val="1D541B93"/>
    <w:rsid w:val="1DB44F31"/>
    <w:rsid w:val="1E78648F"/>
    <w:rsid w:val="1EBC3B3D"/>
    <w:rsid w:val="1F047DC4"/>
    <w:rsid w:val="1F2779A5"/>
    <w:rsid w:val="1F792DAF"/>
    <w:rsid w:val="1F982448"/>
    <w:rsid w:val="206B3164"/>
    <w:rsid w:val="20BE2790"/>
    <w:rsid w:val="20CF6B85"/>
    <w:rsid w:val="212E61B0"/>
    <w:rsid w:val="213B634D"/>
    <w:rsid w:val="21FF14A3"/>
    <w:rsid w:val="22520116"/>
    <w:rsid w:val="22A30143"/>
    <w:rsid w:val="23022C86"/>
    <w:rsid w:val="230C3F3A"/>
    <w:rsid w:val="23A518B2"/>
    <w:rsid w:val="24074396"/>
    <w:rsid w:val="24204E9C"/>
    <w:rsid w:val="24832BD7"/>
    <w:rsid w:val="24A328F9"/>
    <w:rsid w:val="24ED67EA"/>
    <w:rsid w:val="24F50DFB"/>
    <w:rsid w:val="258733F6"/>
    <w:rsid w:val="26E31DD3"/>
    <w:rsid w:val="27096DA5"/>
    <w:rsid w:val="27222275"/>
    <w:rsid w:val="275B283A"/>
    <w:rsid w:val="27846795"/>
    <w:rsid w:val="27CD0233"/>
    <w:rsid w:val="28270483"/>
    <w:rsid w:val="284E5E91"/>
    <w:rsid w:val="28C57065"/>
    <w:rsid w:val="28C770F6"/>
    <w:rsid w:val="28F5606D"/>
    <w:rsid w:val="2A1100C6"/>
    <w:rsid w:val="2B45743A"/>
    <w:rsid w:val="2C8E1915"/>
    <w:rsid w:val="2D125D8D"/>
    <w:rsid w:val="2DB033B7"/>
    <w:rsid w:val="2E3E22B3"/>
    <w:rsid w:val="2E583C2E"/>
    <w:rsid w:val="2F685A57"/>
    <w:rsid w:val="3058256D"/>
    <w:rsid w:val="30C154B5"/>
    <w:rsid w:val="30E028E1"/>
    <w:rsid w:val="3142363A"/>
    <w:rsid w:val="31815AF3"/>
    <w:rsid w:val="31DB16A7"/>
    <w:rsid w:val="32867865"/>
    <w:rsid w:val="332B6976"/>
    <w:rsid w:val="33915A13"/>
    <w:rsid w:val="3393061E"/>
    <w:rsid w:val="33EE06FF"/>
    <w:rsid w:val="34FF38FF"/>
    <w:rsid w:val="354338E2"/>
    <w:rsid w:val="35EF1C9A"/>
    <w:rsid w:val="35F52289"/>
    <w:rsid w:val="3667175C"/>
    <w:rsid w:val="36EF09E2"/>
    <w:rsid w:val="36FF2C6D"/>
    <w:rsid w:val="38DE012E"/>
    <w:rsid w:val="3A8B2738"/>
    <w:rsid w:val="3ACB0D0D"/>
    <w:rsid w:val="3B506C62"/>
    <w:rsid w:val="3B9B758F"/>
    <w:rsid w:val="3CE8111C"/>
    <w:rsid w:val="3DDC56F4"/>
    <w:rsid w:val="3DDE45B1"/>
    <w:rsid w:val="3E1C3502"/>
    <w:rsid w:val="3E954B2F"/>
    <w:rsid w:val="3E9E4FF9"/>
    <w:rsid w:val="3FD9166E"/>
    <w:rsid w:val="403C7A85"/>
    <w:rsid w:val="41DE690D"/>
    <w:rsid w:val="425F1A84"/>
    <w:rsid w:val="42B32F19"/>
    <w:rsid w:val="43002781"/>
    <w:rsid w:val="43386225"/>
    <w:rsid w:val="43394E3A"/>
    <w:rsid w:val="448B6268"/>
    <w:rsid w:val="45FE7152"/>
    <w:rsid w:val="46081EE8"/>
    <w:rsid w:val="46E610C8"/>
    <w:rsid w:val="470D6864"/>
    <w:rsid w:val="47607D88"/>
    <w:rsid w:val="47E0086D"/>
    <w:rsid w:val="480212E4"/>
    <w:rsid w:val="48847F4B"/>
    <w:rsid w:val="491E3B82"/>
    <w:rsid w:val="49BD45E1"/>
    <w:rsid w:val="4A05330E"/>
    <w:rsid w:val="4A271F13"/>
    <w:rsid w:val="4A9B19DD"/>
    <w:rsid w:val="4B744305"/>
    <w:rsid w:val="4BF4363A"/>
    <w:rsid w:val="4C9B3C21"/>
    <w:rsid w:val="4D9F75D5"/>
    <w:rsid w:val="4DFA2A19"/>
    <w:rsid w:val="4E12358D"/>
    <w:rsid w:val="4F6B3034"/>
    <w:rsid w:val="4FC84E27"/>
    <w:rsid w:val="50422E50"/>
    <w:rsid w:val="506643DA"/>
    <w:rsid w:val="50B94D10"/>
    <w:rsid w:val="50FB0FC7"/>
    <w:rsid w:val="51023978"/>
    <w:rsid w:val="510E0CFA"/>
    <w:rsid w:val="518B4CF4"/>
    <w:rsid w:val="525C5A95"/>
    <w:rsid w:val="52D376D0"/>
    <w:rsid w:val="531E71EE"/>
    <w:rsid w:val="53715570"/>
    <w:rsid w:val="543071D9"/>
    <w:rsid w:val="54E0682C"/>
    <w:rsid w:val="55DA1B48"/>
    <w:rsid w:val="562B7C58"/>
    <w:rsid w:val="56882F23"/>
    <w:rsid w:val="581D2BE2"/>
    <w:rsid w:val="584B0697"/>
    <w:rsid w:val="58FE405D"/>
    <w:rsid w:val="594B0611"/>
    <w:rsid w:val="5963595B"/>
    <w:rsid w:val="5B421396"/>
    <w:rsid w:val="5BC42CC1"/>
    <w:rsid w:val="5BCE2AF0"/>
    <w:rsid w:val="5C7557DB"/>
    <w:rsid w:val="5CF90D64"/>
    <w:rsid w:val="5D20477F"/>
    <w:rsid w:val="5D652D23"/>
    <w:rsid w:val="5DA36927"/>
    <w:rsid w:val="5EB160D1"/>
    <w:rsid w:val="5FDB5661"/>
    <w:rsid w:val="60730C88"/>
    <w:rsid w:val="60966616"/>
    <w:rsid w:val="612540C5"/>
    <w:rsid w:val="618172C6"/>
    <w:rsid w:val="6295012C"/>
    <w:rsid w:val="63425764"/>
    <w:rsid w:val="651925F1"/>
    <w:rsid w:val="65DA0729"/>
    <w:rsid w:val="65FE289A"/>
    <w:rsid w:val="66772075"/>
    <w:rsid w:val="668A09CB"/>
    <w:rsid w:val="66A91347"/>
    <w:rsid w:val="66DB337E"/>
    <w:rsid w:val="67591C5B"/>
    <w:rsid w:val="675C1401"/>
    <w:rsid w:val="67F46A97"/>
    <w:rsid w:val="67F80D9E"/>
    <w:rsid w:val="68293EC4"/>
    <w:rsid w:val="68956952"/>
    <w:rsid w:val="68AC637E"/>
    <w:rsid w:val="68D24018"/>
    <w:rsid w:val="69D177F8"/>
    <w:rsid w:val="6AB46016"/>
    <w:rsid w:val="6B8F0831"/>
    <w:rsid w:val="6B9B4288"/>
    <w:rsid w:val="6BD9385B"/>
    <w:rsid w:val="6BE14CCA"/>
    <w:rsid w:val="6C4B643E"/>
    <w:rsid w:val="6C960BD5"/>
    <w:rsid w:val="6D6303D9"/>
    <w:rsid w:val="6E677844"/>
    <w:rsid w:val="6E9D32B2"/>
    <w:rsid w:val="703C677C"/>
    <w:rsid w:val="704D0BD1"/>
    <w:rsid w:val="70FA4A5A"/>
    <w:rsid w:val="70FF55AB"/>
    <w:rsid w:val="71B42B40"/>
    <w:rsid w:val="71CF5657"/>
    <w:rsid w:val="72221EE1"/>
    <w:rsid w:val="723914F7"/>
    <w:rsid w:val="727762B1"/>
    <w:rsid w:val="73700F48"/>
    <w:rsid w:val="7487479C"/>
    <w:rsid w:val="74875635"/>
    <w:rsid w:val="748D503C"/>
    <w:rsid w:val="749B318A"/>
    <w:rsid w:val="75671CEE"/>
    <w:rsid w:val="769C2B02"/>
    <w:rsid w:val="76AD475B"/>
    <w:rsid w:val="772B7FA1"/>
    <w:rsid w:val="775A3E3A"/>
    <w:rsid w:val="77C41863"/>
    <w:rsid w:val="77EB5C21"/>
    <w:rsid w:val="781C5926"/>
    <w:rsid w:val="78AB6682"/>
    <w:rsid w:val="791903FB"/>
    <w:rsid w:val="7988018F"/>
    <w:rsid w:val="79B31CB8"/>
    <w:rsid w:val="79C8563A"/>
    <w:rsid w:val="7A1A3ADE"/>
    <w:rsid w:val="7A2702C2"/>
    <w:rsid w:val="7C2032FD"/>
    <w:rsid w:val="7C2733A5"/>
    <w:rsid w:val="7CFC58C6"/>
    <w:rsid w:val="7D307DB8"/>
    <w:rsid w:val="7DA13DC0"/>
    <w:rsid w:val="7DB859C6"/>
    <w:rsid w:val="7E121EB2"/>
    <w:rsid w:val="7E3B222A"/>
    <w:rsid w:val="7E904EA3"/>
    <w:rsid w:val="7E955D07"/>
    <w:rsid w:val="7ECF3FCA"/>
    <w:rsid w:val="7EE06114"/>
    <w:rsid w:val="7EFC0806"/>
    <w:rsid w:val="7FA0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新格式表"/>
    <w:basedOn w:val="1"/>
    <w:autoRedefine/>
    <w:qFormat/>
    <w:uiPriority w:val="0"/>
    <w:pPr>
      <w:adjustRightInd w:val="0"/>
      <w:snapToGrid w:val="0"/>
      <w:spacing w:line="0" w:lineRule="atLeast"/>
      <w:jc w:val="center"/>
    </w:pPr>
    <w:rPr>
      <w:color w:val="000000"/>
      <w:kern w:val="0"/>
      <w:szCs w:val="21"/>
    </w:rPr>
  </w:style>
  <w:style w:type="paragraph" w:styleId="3">
    <w:name w:val="annotation text"/>
    <w:basedOn w:val="1"/>
    <w:autoRedefine/>
    <w:qFormat/>
    <w:uiPriority w:val="0"/>
    <w:pPr>
      <w:jc w:val="left"/>
    </w:pPr>
  </w:style>
  <w:style w:type="paragraph" w:styleId="4">
    <w:name w:val="Date"/>
    <w:basedOn w:val="1"/>
    <w:next w:val="1"/>
    <w:link w:val="15"/>
    <w:autoRedefine/>
    <w:qFormat/>
    <w:uiPriority w:val="0"/>
    <w:pPr>
      <w:ind w:left="100" w:leftChars="2500"/>
    </w:pPr>
  </w:style>
  <w:style w:type="paragraph" w:styleId="5">
    <w:name w:val="Body Text Indent 2"/>
    <w:basedOn w:val="1"/>
    <w:autoRedefine/>
    <w:unhideWhenUsed/>
    <w:qFormat/>
    <w:uiPriority w:val="99"/>
    <w:pPr>
      <w:spacing w:after="120" w:line="480" w:lineRule="auto"/>
      <w:ind w:left="420" w:leftChars="200"/>
    </w:pPr>
  </w:style>
  <w:style w:type="paragraph" w:styleId="6">
    <w:name w:val="Balloon Text"/>
    <w:basedOn w:val="1"/>
    <w:link w:val="16"/>
    <w:autoRedefine/>
    <w:qFormat/>
    <w:uiPriority w:val="0"/>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
    <w:autoRedefine/>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Hyperlink"/>
    <w:basedOn w:val="12"/>
    <w:autoRedefine/>
    <w:qFormat/>
    <w:uiPriority w:val="0"/>
    <w:rPr>
      <w:color w:val="0000FF"/>
      <w:u w:val="single"/>
    </w:rPr>
  </w:style>
  <w:style w:type="character" w:customStyle="1" w:styleId="15">
    <w:name w:val="日期 字符"/>
    <w:link w:val="4"/>
    <w:autoRedefine/>
    <w:qFormat/>
    <w:uiPriority w:val="0"/>
    <w:rPr>
      <w:kern w:val="2"/>
      <w:sz w:val="21"/>
      <w:szCs w:val="24"/>
    </w:rPr>
  </w:style>
  <w:style w:type="character" w:customStyle="1" w:styleId="16">
    <w:name w:val="批注框文本 字符"/>
    <w:link w:val="6"/>
    <w:autoRedefine/>
    <w:qFormat/>
    <w:uiPriority w:val="0"/>
    <w:rPr>
      <w:kern w:val="2"/>
      <w:sz w:val="18"/>
      <w:szCs w:val="18"/>
    </w:rPr>
  </w:style>
  <w:style w:type="character" w:customStyle="1" w:styleId="17">
    <w:name w:val="页脚 字符"/>
    <w:link w:val="7"/>
    <w:autoRedefine/>
    <w:qFormat/>
    <w:uiPriority w:val="99"/>
    <w:rPr>
      <w:kern w:val="2"/>
      <w:sz w:val="18"/>
      <w:szCs w:val="18"/>
    </w:rPr>
  </w:style>
  <w:style w:type="character" w:customStyle="1" w:styleId="18">
    <w:name w:val="页眉 字符"/>
    <w:link w:val="8"/>
    <w:autoRedefine/>
    <w:qFormat/>
    <w:uiPriority w:val="0"/>
    <w:rPr>
      <w:kern w:val="2"/>
      <w:sz w:val="18"/>
      <w:szCs w:val="18"/>
    </w:rPr>
  </w:style>
  <w:style w:type="paragraph" w:styleId="1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1859</Words>
  <Characters>2054</Characters>
  <Lines>14</Lines>
  <Paragraphs>3</Paragraphs>
  <TotalTime>6</TotalTime>
  <ScaleCrop>false</ScaleCrop>
  <LinksUpToDate>false</LinksUpToDate>
  <CharactersWithSpaces>2083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2023-12-05T02:23:00Z</dcterms:created>
  <dc:creator>User</dc:creator>
  <cp:lastModifiedBy>SPJ</cp:lastModifiedBy>
  <cp:lastPrinted>2025-02-08T06:59:00Z</cp:lastPrinted>
  <dcterms:modified xsi:type="dcterms:W3CDTF">2025-02-11T02:26:56Z</dcterms:modified>
  <dc:title>连云港高新区技术产业开发区党工委</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0515DE81CEC04AB1B7BFD19B5B0ECABA_13</vt:lpwstr>
  </property>
  <property fmtid="{D5CDD505-2E9C-101B-9397-08002B2CF9AE}" pid="4" name="KSOTemplateDocerSaveRecord">
    <vt:lpwstr>eyJoZGlkIjoiMDNkZjEzZmMyNzgzMTBjN2JkMTc0NjQzNjZkNjkxYWEiLCJ1c2VySWQiOiIxMzYwNDE5MTI3In0=</vt:lpwstr>
  </property>
</Properties>
</file>